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DF8F1">
      <w:pPr>
        <w:spacing w:before="100" w:beforeAutospacing="1" w:after="100" w:afterAutospacing="1" w:line="240" w:lineRule="auto"/>
        <w:jc w:val="both"/>
        <w:outlineLvl w:val="2"/>
        <w:rPr>
          <w:rFonts w:hint="default" w:ascii="Tahoma" w:hAnsi="Tahoma" w:eastAsia="Times New Roman" w:cs="Tahoma"/>
          <w:b/>
          <w:bCs/>
          <w:sz w:val="20"/>
          <w:szCs w:val="20"/>
          <w:lang w:val="en-US"/>
        </w:rPr>
      </w:pPr>
      <w:r>
        <w:rPr>
          <w:rFonts w:hint="default" w:ascii="Tahoma" w:hAnsi="Tahoma" w:eastAsia="Times New Roman" w:cs="Tahoma"/>
          <w:b/>
          <w:bCs/>
          <w:sz w:val="20"/>
          <w:szCs w:val="20"/>
          <w:lang w:val="en-US"/>
        </w:rPr>
        <w:t>NEPHAK Institutional Strengthening Portfolio.</w:t>
      </w:r>
    </w:p>
    <w:p w14:paraId="5EA2799A">
      <w:pPr>
        <w:spacing w:before="100" w:beforeAutospacing="1" w:after="100" w:afterAutospacing="1" w:line="240" w:lineRule="auto"/>
        <w:jc w:val="both"/>
        <w:outlineLvl w:val="2"/>
        <w:rPr>
          <w:rFonts w:hint="default" w:ascii="Tahoma" w:hAnsi="Tahoma" w:eastAsia="Times New Roman" w:cs="Tahoma"/>
          <w:b w:val="0"/>
          <w:bCs w:val="0"/>
          <w:sz w:val="20"/>
          <w:szCs w:val="20"/>
          <w:lang w:val="en-US"/>
        </w:rPr>
      </w:pPr>
      <w:r>
        <w:rPr>
          <w:rFonts w:hint="default" w:ascii="Tahoma" w:hAnsi="Tahoma" w:eastAsia="Times New Roman" w:cs="Tahoma"/>
          <w:b w:val="0"/>
          <w:bCs w:val="0"/>
          <w:sz w:val="20"/>
          <w:szCs w:val="20"/>
          <w:lang w:val="en-US"/>
        </w:rPr>
        <w:t xml:space="preserve">In line with the NEPHAK’s Theory of Change and Strategic Direction 2 of the 2024 - 2029 Strategic Plan, NEPHAK has put in place strategies and interventions aimed at strengthened institutions for improved health and well-being of communities. The strategies and interventions target both the institution of NEPHAK as well as the affiliate member organizations and is being undertaken with support from the partners that include the NSDCC, NASCOP, CIHEB, Kenya Red Cross Society and Amref Health in Africa - Kenya. </w:t>
      </w:r>
    </w:p>
    <w:p w14:paraId="1E5CFDDD">
      <w:pPr>
        <w:spacing w:before="100" w:beforeAutospacing="1" w:after="100" w:afterAutospacing="1" w:line="240" w:lineRule="auto"/>
        <w:jc w:val="both"/>
        <w:outlineLvl w:val="2"/>
        <w:rPr>
          <w:rFonts w:hint="default" w:ascii="Tahoma" w:hAnsi="Tahoma" w:eastAsia="Times New Roman" w:cs="Tahoma"/>
          <w:b w:val="0"/>
          <w:bCs w:val="0"/>
          <w:sz w:val="20"/>
          <w:szCs w:val="20"/>
          <w:lang w:val="en-US"/>
        </w:rPr>
      </w:pPr>
      <w:r>
        <w:rPr>
          <w:rFonts w:hint="default" w:ascii="Tahoma" w:hAnsi="Tahoma" w:eastAsia="Times New Roman" w:cs="Tahoma"/>
          <w:b w:val="0"/>
          <w:bCs w:val="0"/>
          <w:sz w:val="20"/>
          <w:szCs w:val="20"/>
          <w:lang w:val="en-US"/>
        </w:rPr>
        <w:t xml:space="preserve">Through this institutional strengthening agenda, NEPHAK has managed to sustain a well governed and well managed network with its own strategic plan. The Kenya Red Cross Society with funding from the Global Fund to fight AIDS, TB and Malaria set NEPHAK on this path after they supported the review of governance documents, including the NEPHAK Board Manual. The NSDCC then enabled the network to induct its new board and review the networks Human Resource Policies and Procedures (Board Manual) and related internal policies. The institutional level support from the network was completed with the development of NEPHAK Strategic Plan 2024 - 2029. </w:t>
      </w:r>
    </w:p>
    <w:p w14:paraId="057C9139">
      <w:pPr>
        <w:spacing w:before="100" w:beforeAutospacing="1" w:after="100" w:afterAutospacing="1" w:line="240" w:lineRule="auto"/>
        <w:jc w:val="both"/>
        <w:outlineLvl w:val="2"/>
        <w:rPr>
          <w:rFonts w:hint="default" w:ascii="Times New Roman" w:hAnsi="Times New Roman" w:eastAsia="Times New Roman" w:cs="Times New Roman"/>
          <w:b/>
          <w:bCs/>
          <w:sz w:val="27"/>
          <w:szCs w:val="27"/>
          <w:lang w:val="en-US"/>
        </w:rPr>
      </w:pPr>
      <w:r>
        <w:rPr>
          <w:rFonts w:hint="default" w:ascii="Tahoma" w:hAnsi="Tahoma" w:eastAsia="Times New Roman" w:cs="Tahoma"/>
          <w:b w:val="0"/>
          <w:bCs w:val="0"/>
          <w:sz w:val="20"/>
          <w:szCs w:val="20"/>
          <w:lang w:val="en-US"/>
        </w:rPr>
        <w:t xml:space="preserve">Institutional strengthening of member organizations is an old time agenda and has been boosted with the support from the GFATM through the KRCS and AMREF. In furthering this task, NEPHAK has adopted an </w:t>
      </w:r>
      <w:r>
        <w:rPr>
          <w:rFonts w:hint="default" w:ascii="Tahoma" w:hAnsi="Tahoma" w:eastAsia="Times New Roman" w:cs="Tahoma"/>
          <w:b w:val="0"/>
          <w:bCs w:val="0"/>
          <w:sz w:val="20"/>
          <w:szCs w:val="20"/>
        </w:rPr>
        <w:t xml:space="preserve"> Organizational Development and Systems Strengthening (ODSS)</w:t>
      </w:r>
      <w:r>
        <w:rPr>
          <w:rFonts w:hint="default" w:ascii="Tahoma" w:hAnsi="Tahoma" w:eastAsia="Times New Roman" w:cs="Tahoma"/>
          <w:b w:val="0"/>
          <w:bCs w:val="0"/>
          <w:sz w:val="20"/>
          <w:szCs w:val="20"/>
          <w:lang w:val="en-US"/>
        </w:rPr>
        <w:t xml:space="preserve"> approach that focuses on: Leadership, governance and management; organizational and strategic planning, including Monitoring, Evaluation, Accountability and Learning (MEAL). Through this ODSS approach, NEPHAK managed to build the capacity of 11 County/Regional PLHIV networks; seven of which later became sub-recipients of the GFATM grants. </w:t>
      </w:r>
    </w:p>
    <w:p w14:paraId="5A783626">
      <w:pPr>
        <w:spacing w:before="100" w:beforeAutospacing="1" w:after="100" w:afterAutospacing="1" w:line="240" w:lineRule="auto"/>
        <w:jc w:val="both"/>
        <w:rPr>
          <w:rFonts w:hint="default" w:ascii="Tahoma" w:hAnsi="Tahoma" w:eastAsia="Times New Roman" w:cs="Tahoma"/>
          <w:b w:val="0"/>
          <w:bCs w:val="0"/>
          <w:sz w:val="20"/>
          <w:szCs w:val="20"/>
        </w:rPr>
      </w:pPr>
      <w:r>
        <w:rPr>
          <w:rFonts w:hint="default" w:ascii="Tahoma" w:hAnsi="Tahoma" w:eastAsia="Times New Roman" w:cs="Tahoma"/>
          <w:b w:val="0"/>
          <w:bCs w:val="0"/>
          <w:kern w:val="36"/>
          <w:sz w:val="20"/>
          <w:szCs w:val="20"/>
          <w:lang w:val="en-US"/>
        </w:rPr>
        <w:t>Using the ODSS approach and with the support from the Amref Health Africa - Kenya, NEPHAK will continue to s</w:t>
      </w:r>
      <w:r>
        <w:rPr>
          <w:rFonts w:hint="default" w:ascii="Tahoma" w:hAnsi="Tahoma" w:eastAsia="Times New Roman" w:cs="Tahoma"/>
          <w:b w:val="0"/>
          <w:bCs w:val="0"/>
          <w:sz w:val="20"/>
          <w:szCs w:val="20"/>
        </w:rPr>
        <w:t xml:space="preserve">trengthen the capacity of </w:t>
      </w:r>
      <w:r>
        <w:rPr>
          <w:rFonts w:hint="default" w:ascii="Tahoma" w:hAnsi="Tahoma" w:eastAsia="Times New Roman" w:cs="Tahoma"/>
          <w:b w:val="0"/>
          <w:bCs w:val="0"/>
          <w:sz w:val="20"/>
          <w:szCs w:val="20"/>
          <w:lang w:val="en-US"/>
        </w:rPr>
        <w:t>25</w:t>
      </w:r>
      <w:r>
        <w:rPr>
          <w:rFonts w:hint="default" w:ascii="Tahoma" w:hAnsi="Tahoma" w:eastAsia="Times New Roman" w:cs="Tahoma"/>
          <w:b w:val="0"/>
          <w:bCs w:val="0"/>
          <w:sz w:val="20"/>
          <w:szCs w:val="20"/>
        </w:rPr>
        <w:t xml:space="preserve"> member organizations through structured learning and mentorship in:</w:t>
      </w:r>
      <w:r>
        <w:rPr>
          <w:rFonts w:hint="default" w:ascii="Tahoma" w:hAnsi="Tahoma" w:eastAsia="Times New Roman" w:cs="Tahoma"/>
          <w:b w:val="0"/>
          <w:bCs w:val="0"/>
          <w:sz w:val="20"/>
          <w:szCs w:val="20"/>
          <w:lang w:val="en-US"/>
        </w:rPr>
        <w:t xml:space="preserve"> </w:t>
      </w:r>
      <w:r>
        <w:rPr>
          <w:rFonts w:hint="default" w:ascii="Tahoma" w:hAnsi="Tahoma" w:eastAsia="Times New Roman" w:cs="Tahoma"/>
          <w:b w:val="0"/>
          <w:bCs w:val="0"/>
          <w:sz w:val="20"/>
          <w:szCs w:val="20"/>
        </w:rPr>
        <w:t>Governance and Board Effectiveness</w:t>
      </w:r>
      <w:r>
        <w:rPr>
          <w:rFonts w:hint="default" w:ascii="Tahoma" w:hAnsi="Tahoma" w:eastAsia="Times New Roman" w:cs="Tahoma"/>
          <w:b w:val="0"/>
          <w:bCs w:val="0"/>
          <w:sz w:val="20"/>
          <w:szCs w:val="20"/>
          <w:lang w:val="en-US"/>
        </w:rPr>
        <w:t xml:space="preserve">; </w:t>
      </w:r>
      <w:r>
        <w:rPr>
          <w:rFonts w:hint="default" w:ascii="Tahoma" w:hAnsi="Tahoma" w:eastAsia="Times New Roman" w:cs="Tahoma"/>
          <w:b w:val="0"/>
          <w:bCs w:val="0"/>
          <w:sz w:val="20"/>
          <w:szCs w:val="20"/>
        </w:rPr>
        <w:t>Strategic Leadership</w:t>
      </w:r>
      <w:r>
        <w:rPr>
          <w:rFonts w:hint="default" w:ascii="Tahoma" w:hAnsi="Tahoma" w:eastAsia="Times New Roman" w:cs="Tahoma"/>
          <w:b w:val="0"/>
          <w:bCs w:val="0"/>
          <w:sz w:val="20"/>
          <w:szCs w:val="20"/>
          <w:lang w:val="en-US"/>
        </w:rPr>
        <w:t xml:space="preserve">; </w:t>
      </w:r>
      <w:r>
        <w:rPr>
          <w:rFonts w:hint="default" w:ascii="Tahoma" w:hAnsi="Tahoma" w:eastAsia="Times New Roman" w:cs="Tahoma"/>
          <w:b w:val="0"/>
          <w:bCs w:val="0"/>
          <w:sz w:val="20"/>
          <w:szCs w:val="20"/>
        </w:rPr>
        <w:t>Human Resource Management</w:t>
      </w:r>
      <w:r>
        <w:rPr>
          <w:rFonts w:hint="default" w:ascii="Tahoma" w:hAnsi="Tahoma" w:eastAsia="Times New Roman" w:cs="Tahoma"/>
          <w:b w:val="0"/>
          <w:bCs w:val="0"/>
          <w:sz w:val="20"/>
          <w:szCs w:val="20"/>
          <w:lang w:val="en-US"/>
        </w:rPr>
        <w:t xml:space="preserve">; </w:t>
      </w:r>
      <w:r>
        <w:rPr>
          <w:rFonts w:hint="default" w:ascii="Tahoma" w:hAnsi="Tahoma" w:eastAsia="Times New Roman" w:cs="Tahoma"/>
          <w:b w:val="0"/>
          <w:bCs w:val="0"/>
          <w:sz w:val="20"/>
          <w:szCs w:val="20"/>
        </w:rPr>
        <w:t>Financial Management and Accountability</w:t>
      </w:r>
      <w:r>
        <w:rPr>
          <w:rFonts w:hint="default" w:ascii="Tahoma" w:hAnsi="Tahoma" w:eastAsia="Times New Roman" w:cs="Tahoma"/>
          <w:b w:val="0"/>
          <w:bCs w:val="0"/>
          <w:sz w:val="20"/>
          <w:szCs w:val="20"/>
          <w:lang w:val="en-US"/>
        </w:rPr>
        <w:t xml:space="preserve">; </w:t>
      </w:r>
      <w:r>
        <w:rPr>
          <w:rFonts w:hint="default" w:ascii="Tahoma" w:hAnsi="Tahoma" w:eastAsia="Times New Roman" w:cs="Tahoma"/>
          <w:b w:val="0"/>
          <w:bCs w:val="0"/>
          <w:sz w:val="20"/>
          <w:szCs w:val="20"/>
        </w:rPr>
        <w:t>Programme Management</w:t>
      </w:r>
      <w:r>
        <w:rPr>
          <w:rFonts w:hint="default" w:ascii="Tahoma" w:hAnsi="Tahoma" w:eastAsia="Times New Roman" w:cs="Tahoma"/>
          <w:b w:val="0"/>
          <w:bCs w:val="0"/>
          <w:sz w:val="20"/>
          <w:szCs w:val="20"/>
          <w:lang w:val="en-US"/>
        </w:rPr>
        <w:t xml:space="preserve">; </w:t>
      </w:r>
      <w:r>
        <w:rPr>
          <w:rFonts w:hint="default" w:ascii="Tahoma" w:hAnsi="Tahoma" w:eastAsia="Times New Roman" w:cs="Tahoma"/>
          <w:b w:val="0"/>
          <w:bCs w:val="0"/>
          <w:sz w:val="20"/>
          <w:szCs w:val="20"/>
        </w:rPr>
        <w:t>Monitoring, Evaluation, Research and Learning (MERL)</w:t>
      </w:r>
      <w:r>
        <w:rPr>
          <w:rFonts w:hint="default" w:ascii="Tahoma" w:hAnsi="Tahoma" w:eastAsia="Times New Roman" w:cs="Tahoma"/>
          <w:b w:val="0"/>
          <w:bCs w:val="0"/>
          <w:sz w:val="20"/>
          <w:szCs w:val="20"/>
          <w:lang w:val="en-US"/>
        </w:rPr>
        <w:t xml:space="preserve">; </w:t>
      </w:r>
      <w:r>
        <w:rPr>
          <w:rFonts w:hint="default" w:ascii="Tahoma" w:hAnsi="Tahoma" w:eastAsia="Times New Roman" w:cs="Tahoma"/>
          <w:b w:val="0"/>
          <w:bCs w:val="0"/>
          <w:sz w:val="20"/>
          <w:szCs w:val="20"/>
        </w:rPr>
        <w:t xml:space="preserve">Resource Mobilization and Sustainability </w:t>
      </w:r>
      <w:r>
        <w:rPr>
          <w:rFonts w:hint="default" w:ascii="Tahoma" w:hAnsi="Tahoma" w:eastAsia="Times New Roman" w:cs="Tahoma"/>
          <w:b w:val="0"/>
          <w:bCs w:val="0"/>
          <w:sz w:val="20"/>
          <w:szCs w:val="20"/>
          <w:lang w:val="en-US"/>
        </w:rPr>
        <w:t xml:space="preserve">and; </w:t>
      </w:r>
      <w:r>
        <w:rPr>
          <w:rFonts w:hint="default" w:ascii="Tahoma" w:hAnsi="Tahoma" w:eastAsia="Times New Roman" w:cs="Tahoma"/>
          <w:b w:val="0"/>
          <w:bCs w:val="0"/>
          <w:sz w:val="20"/>
          <w:szCs w:val="20"/>
        </w:rPr>
        <w:t>Digital Transformation and Organizational Resilience</w:t>
      </w:r>
      <w:r>
        <w:rPr>
          <w:rFonts w:hint="default" w:ascii="Tahoma" w:hAnsi="Tahoma" w:eastAsia="Times New Roman" w:cs="Tahoma"/>
          <w:b w:val="0"/>
          <w:bCs w:val="0"/>
          <w:sz w:val="20"/>
          <w:szCs w:val="20"/>
          <w:lang w:val="en-US"/>
        </w:rPr>
        <w:t>. The same approach will be used to s</w:t>
      </w:r>
      <w:r>
        <w:rPr>
          <w:rFonts w:hint="default" w:ascii="Tahoma" w:hAnsi="Tahoma" w:eastAsia="Times New Roman" w:cs="Tahoma"/>
          <w:b w:val="0"/>
          <w:bCs w:val="0"/>
          <w:sz w:val="20"/>
          <w:szCs w:val="20"/>
        </w:rPr>
        <w:t>trengthen Organizational Change Management</w:t>
      </w:r>
      <w:r>
        <w:rPr>
          <w:rFonts w:hint="default" w:ascii="Tahoma" w:hAnsi="Tahoma" w:eastAsia="Times New Roman" w:cs="Tahoma"/>
          <w:b w:val="0"/>
          <w:bCs w:val="0"/>
          <w:sz w:val="20"/>
          <w:szCs w:val="20"/>
          <w:lang w:val="en-US"/>
        </w:rPr>
        <w:t xml:space="preserve"> to ensure: </w:t>
      </w:r>
      <w:r>
        <w:rPr>
          <w:rFonts w:hint="default" w:ascii="Tahoma" w:hAnsi="Tahoma" w:eastAsia="Times New Roman" w:cs="Tahoma"/>
          <w:b w:val="0"/>
          <w:bCs w:val="0"/>
          <w:sz w:val="20"/>
          <w:szCs w:val="20"/>
        </w:rPr>
        <w:t>Organizational transformation and growth</w:t>
      </w:r>
      <w:r>
        <w:rPr>
          <w:rFonts w:hint="default" w:ascii="Tahoma" w:hAnsi="Tahoma" w:eastAsia="Times New Roman" w:cs="Tahoma"/>
          <w:b w:val="0"/>
          <w:bCs w:val="0"/>
          <w:sz w:val="20"/>
          <w:szCs w:val="20"/>
          <w:lang w:val="en-US"/>
        </w:rPr>
        <w:t>; a</w:t>
      </w:r>
      <w:r>
        <w:rPr>
          <w:rFonts w:hint="default" w:ascii="Tahoma" w:hAnsi="Tahoma" w:eastAsia="Times New Roman" w:cs="Tahoma"/>
          <w:b w:val="0"/>
          <w:bCs w:val="0"/>
          <w:sz w:val="20"/>
          <w:szCs w:val="20"/>
        </w:rPr>
        <w:t>doption of digital systems and innovative ways of working</w:t>
      </w:r>
      <w:r>
        <w:rPr>
          <w:rFonts w:hint="default" w:ascii="Tahoma" w:hAnsi="Tahoma" w:eastAsia="Times New Roman" w:cs="Tahoma"/>
          <w:b w:val="0"/>
          <w:bCs w:val="0"/>
          <w:sz w:val="20"/>
          <w:szCs w:val="20"/>
          <w:lang w:val="en-US"/>
        </w:rPr>
        <w:t>; s</w:t>
      </w:r>
      <w:r>
        <w:rPr>
          <w:rFonts w:hint="default" w:ascii="Tahoma" w:hAnsi="Tahoma" w:eastAsia="Times New Roman" w:cs="Tahoma"/>
          <w:b w:val="0"/>
          <w:bCs w:val="0"/>
          <w:sz w:val="20"/>
          <w:szCs w:val="20"/>
        </w:rPr>
        <w:t>taff engagement and change readiness</w:t>
      </w:r>
      <w:r>
        <w:rPr>
          <w:rFonts w:hint="default" w:ascii="Tahoma" w:hAnsi="Tahoma" w:eastAsia="Times New Roman" w:cs="Tahoma"/>
          <w:b w:val="0"/>
          <w:bCs w:val="0"/>
          <w:sz w:val="20"/>
          <w:szCs w:val="20"/>
          <w:lang w:val="en-US"/>
        </w:rPr>
        <w:t xml:space="preserve"> and con</w:t>
      </w:r>
      <w:r>
        <w:rPr>
          <w:rFonts w:hint="default" w:ascii="Tahoma" w:hAnsi="Tahoma" w:eastAsia="Times New Roman" w:cs="Tahoma"/>
          <w:b w:val="0"/>
          <w:bCs w:val="0"/>
          <w:sz w:val="20"/>
          <w:szCs w:val="20"/>
        </w:rPr>
        <w:t xml:space="preserve">tinuous learning and adaptive management. </w:t>
      </w:r>
    </w:p>
    <w:p w14:paraId="22641E00">
      <w:pPr>
        <w:numPr>
          <w:numId w:val="0"/>
        </w:numPr>
        <w:spacing w:before="100" w:beforeAutospacing="1" w:after="100" w:afterAutospacing="1" w:line="240" w:lineRule="auto"/>
        <w:jc w:val="both"/>
        <w:rPr>
          <w:rFonts w:hint="default" w:ascii="Tahoma" w:hAnsi="Tahoma" w:eastAsia="Times New Roman" w:cs="Tahoma"/>
          <w:b w:val="0"/>
          <w:bCs w:val="0"/>
          <w:sz w:val="20"/>
          <w:szCs w:val="20"/>
        </w:rPr>
      </w:pPr>
      <w:r>
        <w:rPr>
          <w:rFonts w:hint="default" w:ascii="Tahoma" w:hAnsi="Tahoma" w:eastAsia="Times New Roman" w:cs="Tahoma"/>
          <w:b w:val="0"/>
          <w:bCs w:val="0"/>
          <w:sz w:val="20"/>
          <w:szCs w:val="20"/>
          <w:lang w:val="en-US"/>
        </w:rPr>
        <w:t>NEPHAK is also working with partners to e</w:t>
      </w:r>
      <w:r>
        <w:rPr>
          <w:rFonts w:hint="default" w:ascii="Tahoma" w:hAnsi="Tahoma" w:eastAsia="Times New Roman" w:cs="Tahoma"/>
          <w:b w:val="0"/>
          <w:bCs w:val="0"/>
          <w:sz w:val="20"/>
          <w:szCs w:val="20"/>
        </w:rPr>
        <w:t>stablish a Centralized Knowledge Management System</w:t>
      </w:r>
      <w:r>
        <w:rPr>
          <w:rFonts w:hint="default" w:ascii="Tahoma" w:hAnsi="Tahoma" w:eastAsia="Times New Roman" w:cs="Tahoma"/>
          <w:b w:val="0"/>
          <w:bCs w:val="0"/>
          <w:sz w:val="20"/>
          <w:szCs w:val="20"/>
          <w:lang w:val="en-US"/>
        </w:rPr>
        <w:t xml:space="preserve"> to b</w:t>
      </w:r>
      <w:r>
        <w:rPr>
          <w:rFonts w:hint="default" w:ascii="Tahoma" w:hAnsi="Tahoma" w:eastAsia="Times New Roman" w:cs="Tahoma"/>
          <w:b w:val="0"/>
          <w:bCs w:val="0"/>
          <w:sz w:val="20"/>
          <w:szCs w:val="20"/>
        </w:rPr>
        <w:t xml:space="preserve">uild a sustainable Knowledge Management (KM) ecosystem that enables </w:t>
      </w:r>
      <w:r>
        <w:rPr>
          <w:rFonts w:hint="default" w:ascii="Tahoma" w:hAnsi="Tahoma" w:eastAsia="Times New Roman" w:cs="Tahoma"/>
          <w:b w:val="0"/>
          <w:bCs w:val="0"/>
          <w:sz w:val="20"/>
          <w:szCs w:val="20"/>
          <w:lang w:val="en-US"/>
        </w:rPr>
        <w:t>it</w:t>
      </w:r>
      <w:r>
        <w:rPr>
          <w:rFonts w:hint="default" w:ascii="Tahoma" w:hAnsi="Tahoma" w:eastAsia="Times New Roman" w:cs="Tahoma"/>
          <w:b w:val="0"/>
          <w:bCs w:val="0"/>
          <w:sz w:val="20"/>
          <w:szCs w:val="20"/>
        </w:rPr>
        <w:t xml:space="preserve"> and its affiliate network to capture, preserve, share, and apply knowledge for improved organizational performance.</w:t>
      </w:r>
      <w:r>
        <w:rPr>
          <w:rFonts w:hint="default" w:ascii="Tahoma" w:hAnsi="Tahoma" w:eastAsia="Times New Roman" w:cs="Tahoma"/>
          <w:b w:val="0"/>
          <w:bCs w:val="0"/>
          <w:sz w:val="20"/>
          <w:szCs w:val="20"/>
          <w:lang w:val="en-US"/>
        </w:rPr>
        <w:t xml:space="preserve"> </w:t>
      </w:r>
      <w:r>
        <w:rPr>
          <w:rFonts w:hint="default" w:ascii="Tahoma" w:hAnsi="Tahoma" w:eastAsia="Times New Roman" w:cs="Tahoma"/>
          <w:b w:val="0"/>
          <w:bCs w:val="0"/>
          <w:sz w:val="20"/>
          <w:szCs w:val="20"/>
        </w:rPr>
        <w:t>This will include:</w:t>
      </w:r>
      <w:r>
        <w:rPr>
          <w:rFonts w:hint="default" w:ascii="Tahoma" w:hAnsi="Tahoma" w:eastAsia="Times New Roman" w:cs="Tahoma"/>
          <w:b w:val="0"/>
          <w:bCs w:val="0"/>
          <w:sz w:val="20"/>
          <w:szCs w:val="20"/>
          <w:lang w:val="en-US"/>
        </w:rPr>
        <w:t xml:space="preserve"> C</w:t>
      </w:r>
      <w:r>
        <w:rPr>
          <w:rFonts w:hint="default" w:ascii="Tahoma" w:hAnsi="Tahoma" w:eastAsia="Times New Roman" w:cs="Tahoma"/>
          <w:b w:val="0"/>
          <w:bCs w:val="0"/>
          <w:sz w:val="20"/>
          <w:szCs w:val="20"/>
        </w:rPr>
        <w:t>entralized digital knowledge repository for policies, tools, templates, reports, and best practices</w:t>
      </w:r>
      <w:r>
        <w:rPr>
          <w:rFonts w:hint="default" w:ascii="Tahoma" w:hAnsi="Tahoma" w:eastAsia="Times New Roman" w:cs="Tahoma"/>
          <w:b w:val="0"/>
          <w:bCs w:val="0"/>
          <w:sz w:val="20"/>
          <w:szCs w:val="20"/>
          <w:lang w:val="en-US"/>
        </w:rPr>
        <w:t xml:space="preserve">; </w:t>
      </w:r>
      <w:r>
        <w:rPr>
          <w:rFonts w:hint="default" w:ascii="Tahoma" w:hAnsi="Tahoma" w:eastAsia="Times New Roman" w:cs="Tahoma"/>
          <w:b w:val="0"/>
          <w:bCs w:val="0"/>
          <w:sz w:val="20"/>
          <w:szCs w:val="20"/>
        </w:rPr>
        <w:t>Communities of Practice (CoPs) to facilitate peer learning and knowledge exchange across member organizations</w:t>
      </w:r>
      <w:r>
        <w:rPr>
          <w:rFonts w:hint="default" w:ascii="Tahoma" w:hAnsi="Tahoma" w:eastAsia="Times New Roman" w:cs="Tahoma"/>
          <w:b w:val="0"/>
          <w:bCs w:val="0"/>
          <w:sz w:val="20"/>
          <w:szCs w:val="20"/>
          <w:lang w:val="en-US"/>
        </w:rPr>
        <w:t xml:space="preserve"> and; s</w:t>
      </w:r>
      <w:r>
        <w:rPr>
          <w:rFonts w:hint="default" w:ascii="Tahoma" w:hAnsi="Tahoma" w:eastAsia="Times New Roman" w:cs="Tahoma"/>
          <w:b w:val="0"/>
          <w:bCs w:val="0"/>
          <w:sz w:val="20"/>
          <w:szCs w:val="20"/>
        </w:rPr>
        <w:t xml:space="preserve">trengthening knowledge capture and institutional memory to reduce knowledge loss. </w:t>
      </w:r>
    </w:p>
    <w:p w14:paraId="229911B8">
      <w:pPr>
        <w:numPr>
          <w:numId w:val="0"/>
        </w:numPr>
        <w:spacing w:before="100" w:beforeAutospacing="1" w:after="100" w:afterAutospacing="1" w:line="240" w:lineRule="auto"/>
        <w:jc w:val="both"/>
        <w:rPr>
          <w:rFonts w:hint="default" w:ascii="Tahoma" w:hAnsi="Tahoma" w:eastAsia="Times New Roman" w:cs="Tahoma"/>
          <w:b w:val="0"/>
          <w:bCs w:val="0"/>
          <w:sz w:val="20"/>
          <w:szCs w:val="20"/>
          <w:lang w:val="en-US"/>
        </w:rPr>
      </w:pPr>
      <w:r>
        <w:rPr>
          <w:rFonts w:hint="default" w:ascii="Tahoma" w:hAnsi="Tahoma" w:eastAsia="Times New Roman" w:cs="Tahoma"/>
          <w:b w:val="0"/>
          <w:bCs w:val="0"/>
          <w:sz w:val="20"/>
          <w:szCs w:val="20"/>
          <w:lang w:val="en-US"/>
        </w:rPr>
        <w:t xml:space="preserve">For details of NEPHAK IS portfolio, contact: </w:t>
      </w:r>
      <w:r>
        <w:rPr>
          <w:rFonts w:hint="default" w:ascii="Tahoma" w:hAnsi="Tahoma" w:eastAsia="Times New Roman" w:cs="Tahoma"/>
          <w:b w:val="0"/>
          <w:bCs w:val="0"/>
          <w:sz w:val="20"/>
          <w:szCs w:val="20"/>
          <w:lang w:val="en-US"/>
        </w:rPr>
        <w:fldChar w:fldCharType="begin"/>
      </w:r>
      <w:r>
        <w:rPr>
          <w:rFonts w:hint="default" w:ascii="Tahoma" w:hAnsi="Tahoma" w:eastAsia="Times New Roman" w:cs="Tahoma"/>
          <w:b w:val="0"/>
          <w:bCs w:val="0"/>
          <w:sz w:val="20"/>
          <w:szCs w:val="20"/>
          <w:lang w:val="en-US"/>
        </w:rPr>
        <w:instrText xml:space="preserve"> HYPERLINK "mailto:info@nephak.or.ke" </w:instrText>
      </w:r>
      <w:r>
        <w:rPr>
          <w:rFonts w:hint="default" w:ascii="Tahoma" w:hAnsi="Tahoma" w:eastAsia="Times New Roman" w:cs="Tahoma"/>
          <w:b w:val="0"/>
          <w:bCs w:val="0"/>
          <w:sz w:val="20"/>
          <w:szCs w:val="20"/>
          <w:lang w:val="en-US"/>
        </w:rPr>
        <w:fldChar w:fldCharType="separate"/>
      </w:r>
      <w:r>
        <w:rPr>
          <w:rStyle w:val="7"/>
          <w:rFonts w:hint="default" w:ascii="Tahoma" w:hAnsi="Tahoma" w:eastAsia="Times New Roman" w:cs="Tahoma"/>
          <w:b w:val="0"/>
          <w:bCs w:val="0"/>
          <w:sz w:val="20"/>
          <w:szCs w:val="20"/>
          <w:lang w:val="en-US"/>
        </w:rPr>
        <w:t>info@nephak.or.ke</w:t>
      </w:r>
      <w:r>
        <w:rPr>
          <w:rFonts w:hint="default" w:ascii="Tahoma" w:hAnsi="Tahoma" w:eastAsia="Times New Roman" w:cs="Tahoma"/>
          <w:b w:val="0"/>
          <w:bCs w:val="0"/>
          <w:sz w:val="20"/>
          <w:szCs w:val="20"/>
          <w:lang w:val="en-US"/>
        </w:rPr>
        <w:fldChar w:fldCharType="end"/>
      </w:r>
      <w:r>
        <w:rPr>
          <w:rFonts w:hint="default" w:ascii="Tahoma" w:hAnsi="Tahoma" w:eastAsia="Times New Roman" w:cs="Tahoma"/>
          <w:b w:val="0"/>
          <w:bCs w:val="0"/>
          <w:sz w:val="20"/>
          <w:szCs w:val="20"/>
          <w:lang w:val="en-US"/>
        </w:rPr>
        <w:t xml:space="preserve"> </w:t>
      </w:r>
      <w:bookmarkStart w:id="0" w:name="_GoBack"/>
      <w:bookmarkEnd w:id="0"/>
    </w:p>
    <w:p w14:paraId="5C9E8ACC">
      <w:pPr>
        <w:spacing w:before="100" w:beforeAutospacing="1" w:after="100" w:afterAutospacing="1" w:line="240" w:lineRule="auto"/>
        <w:rPr>
          <w:rFonts w:ascii="Times New Roman" w:hAnsi="Times New Roman" w:eastAsia="Times New Roman" w:cs="Times New Roman"/>
          <w:sz w:val="24"/>
          <w:szCs w:val="24"/>
        </w:rPr>
      </w:pPr>
    </w:p>
    <w:p w14:paraId="62AD8762">
      <w:pPr>
        <w:spacing w:before="100" w:beforeAutospacing="1" w:after="100" w:afterAutospacing="1" w:line="240" w:lineRule="auto"/>
        <w:rPr>
          <w:rFonts w:ascii="Times New Roman" w:hAnsi="Times New Roman" w:eastAsia="Times New Roman" w:cs="Times New Roman"/>
          <w:sz w:val="24"/>
          <w:szCs w:val="24"/>
        </w:rPr>
      </w:pPr>
    </w:p>
    <w:p w14:paraId="4FB8F2E8">
      <w:pPr>
        <w:spacing w:before="100" w:beforeAutospacing="1" w:after="100" w:afterAutospacing="1" w:line="240" w:lineRule="auto"/>
        <w:ind w:left="360"/>
        <w:rPr>
          <w:rFonts w:ascii="Times New Roman" w:hAnsi="Times New Roman" w:eastAsia="Times New Roman" w:cs="Times New Roman"/>
          <w:sz w:val="24"/>
          <w:szCs w:val="24"/>
        </w:rPr>
      </w:pPr>
    </w:p>
    <w:p w14:paraId="1E75DA71"/>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6"/>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3DE"/>
    <w:rsid w:val="001223DE"/>
    <w:rsid w:val="00215856"/>
    <w:rsid w:val="00243CDB"/>
    <w:rsid w:val="00295177"/>
    <w:rsid w:val="00295A92"/>
    <w:rsid w:val="003D2CD2"/>
    <w:rsid w:val="00826F87"/>
    <w:rsid w:val="009246E6"/>
    <w:rsid w:val="009B2291"/>
    <w:rsid w:val="009C73BE"/>
    <w:rsid w:val="00D507C8"/>
    <w:rsid w:val="00F33D12"/>
    <w:rsid w:val="00F52F1C"/>
    <w:rsid w:val="028B6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link w:val="12"/>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paragraph" w:styleId="3">
    <w:name w:val="heading 2"/>
    <w:basedOn w:val="1"/>
    <w:link w:val="13"/>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rPr>
  </w:style>
  <w:style w:type="paragraph" w:styleId="4">
    <w:name w:val="heading 3"/>
    <w:basedOn w:val="1"/>
    <w:link w:val="14"/>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Hyperlink"/>
    <w:basedOn w:val="5"/>
    <w:semiHidden/>
    <w:unhideWhenUsed/>
    <w:uiPriority w:val="99"/>
    <w:rPr>
      <w:color w:val="0000FF"/>
      <w:u w:val="single"/>
    </w:rPr>
  </w:style>
  <w:style w:type="paragraph" w:styleId="8">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9">
    <w:name w:val="Strong"/>
    <w:basedOn w:val="5"/>
    <w:qFormat/>
    <w:uiPriority w:val="22"/>
    <w:rPr>
      <w:b/>
      <w:bCs/>
    </w:rPr>
  </w:style>
  <w:style w:type="paragraph" w:customStyle="1" w:styleId="10">
    <w:name w:val="pdq2pg_selectionanchorcontainer"/>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styleId="11">
    <w:name w:val="List Paragraph"/>
    <w:basedOn w:val="1"/>
    <w:qFormat/>
    <w:uiPriority w:val="34"/>
    <w:pPr>
      <w:ind w:left="720"/>
      <w:contextualSpacing/>
    </w:pPr>
  </w:style>
  <w:style w:type="character" w:customStyle="1" w:styleId="12">
    <w:name w:val="Heading 1 Char"/>
    <w:basedOn w:val="5"/>
    <w:link w:val="2"/>
    <w:uiPriority w:val="9"/>
    <w:rPr>
      <w:rFonts w:ascii="Times New Roman" w:hAnsi="Times New Roman" w:eastAsia="Times New Roman" w:cs="Times New Roman"/>
      <w:b/>
      <w:bCs/>
      <w:kern w:val="36"/>
      <w:sz w:val="48"/>
      <w:szCs w:val="48"/>
    </w:rPr>
  </w:style>
  <w:style w:type="character" w:customStyle="1" w:styleId="13">
    <w:name w:val="Heading 2 Char"/>
    <w:basedOn w:val="5"/>
    <w:link w:val="3"/>
    <w:uiPriority w:val="9"/>
    <w:rPr>
      <w:rFonts w:ascii="Times New Roman" w:hAnsi="Times New Roman" w:eastAsia="Times New Roman" w:cs="Times New Roman"/>
      <w:b/>
      <w:bCs/>
      <w:sz w:val="36"/>
      <w:szCs w:val="36"/>
    </w:rPr>
  </w:style>
  <w:style w:type="character" w:customStyle="1" w:styleId="14">
    <w:name w:val="Heading 3 Char"/>
    <w:basedOn w:val="5"/>
    <w:link w:val="4"/>
    <w:uiPriority w:val="9"/>
    <w:rPr>
      <w:rFonts w:ascii="Times New Roman" w:hAnsi="Times New Roman" w:eastAsia="Times New Roman" w:cs="Times New Roman"/>
      <w:b/>
      <w:bCs/>
      <w:sz w:val="27"/>
      <w:szCs w:val="27"/>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306</Words>
  <Characters>2194</Characters>
  <Lines>17</Lines>
  <Paragraphs>5</Paragraphs>
  <TotalTime>110</TotalTime>
  <ScaleCrop>false</ScaleCrop>
  <LinksUpToDate>false</LinksUpToDate>
  <CharactersWithSpaces>2486</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2026-07-22T11:00:00Z</dcterms:created>
  <dc:creator>pc</dc:creator>
  <cp:lastModifiedBy>notwo</cp:lastModifiedBy>
  <dcterms:modified xsi:type="dcterms:W3CDTF">2026-07-25T12:13:57Z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eyJoZGlkIjoiMDljYzUzMWQ4OWI0YzBkYjYzMDRhZTY5ZjZkYmFmYTgiLCJ1c2VySWQiOiIxNDk5ODY2MzA4ODI0MiJ9</vt:lpwstr>
  </property>
  <property fmtid="{D5CDD505-2E9C-101B-9397-08002B2CF9AE}" pid="3" name="KSOProductBuildVer">
    <vt:lpwstr>1033-12.1.0.27458</vt:lpwstr>
  </property>
  <property fmtid="{D5CDD505-2E9C-101B-9397-08002B2CF9AE}" pid="4" name="ICV">
    <vt:lpwstr>858CAC90E5634389A37D85074C04C6BB_13</vt:lpwstr>
  </property>
</Properties>
</file>