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D09E8" w14:textId="1E2CB1E9" w:rsidR="005128EF" w:rsidRPr="001236DF" w:rsidRDefault="00FB2368">
      <w:pPr>
        <w:spacing w:after="80"/>
        <w:jc w:val="center"/>
        <w:rPr>
          <w:i/>
          <w:iCs/>
          <w:sz w:val="20"/>
          <w:szCs w:val="20"/>
        </w:rPr>
      </w:pPr>
      <w:r w:rsidRPr="001236DF">
        <w:rPr>
          <w:rFonts w:ascii="Arial" w:hAnsi="Arial"/>
          <w:b/>
          <w:i/>
          <w:iCs/>
          <w:color w:val="003366"/>
          <w:sz w:val="20"/>
          <w:szCs w:val="20"/>
        </w:rPr>
        <w:t>P</w:t>
      </w:r>
      <w:r w:rsidR="001236DF">
        <w:rPr>
          <w:rFonts w:ascii="Arial" w:hAnsi="Arial"/>
          <w:b/>
          <w:i/>
          <w:iCs/>
          <w:color w:val="003366"/>
          <w:sz w:val="20"/>
          <w:szCs w:val="20"/>
        </w:rPr>
        <w:t>rogram</w:t>
      </w:r>
      <w:r w:rsidRPr="001236DF">
        <w:rPr>
          <w:rFonts w:ascii="Arial" w:hAnsi="Arial"/>
          <w:b/>
          <w:i/>
          <w:iCs/>
          <w:color w:val="003366"/>
          <w:sz w:val="20"/>
          <w:szCs w:val="20"/>
        </w:rPr>
        <w:t xml:space="preserve"> A</w:t>
      </w:r>
      <w:r w:rsidR="001236DF">
        <w:rPr>
          <w:rFonts w:ascii="Arial" w:hAnsi="Arial"/>
          <w:b/>
          <w:i/>
          <w:iCs/>
          <w:color w:val="003366"/>
          <w:sz w:val="20"/>
          <w:szCs w:val="20"/>
        </w:rPr>
        <w:t>ctivity</w:t>
      </w:r>
      <w:r w:rsidRPr="001236DF">
        <w:rPr>
          <w:rFonts w:ascii="Arial" w:hAnsi="Arial"/>
          <w:b/>
          <w:i/>
          <w:iCs/>
          <w:color w:val="003366"/>
          <w:sz w:val="20"/>
          <w:szCs w:val="20"/>
        </w:rPr>
        <w:t xml:space="preserve"> U</w:t>
      </w:r>
      <w:r w:rsidR="001236DF">
        <w:rPr>
          <w:rFonts w:ascii="Arial" w:hAnsi="Arial"/>
          <w:b/>
          <w:i/>
          <w:iCs/>
          <w:color w:val="003366"/>
          <w:sz w:val="20"/>
          <w:szCs w:val="20"/>
        </w:rPr>
        <w:t>pdates</w:t>
      </w:r>
      <w:r w:rsidRPr="001236DF">
        <w:rPr>
          <w:rFonts w:ascii="Arial" w:hAnsi="Arial"/>
          <w:b/>
          <w:i/>
          <w:iCs/>
          <w:color w:val="003366"/>
          <w:sz w:val="20"/>
          <w:szCs w:val="20"/>
        </w:rPr>
        <w:t xml:space="preserve"> &amp; H</w:t>
      </w:r>
      <w:r w:rsidR="001236DF">
        <w:rPr>
          <w:rFonts w:ascii="Arial" w:hAnsi="Arial"/>
          <w:b/>
          <w:i/>
          <w:iCs/>
          <w:color w:val="003366"/>
          <w:sz w:val="20"/>
          <w:szCs w:val="20"/>
        </w:rPr>
        <w:t>ighlights</w:t>
      </w:r>
    </w:p>
    <w:p w14:paraId="0581F901" w14:textId="6CDBFE69" w:rsidR="005128EF" w:rsidRPr="00943D0E" w:rsidRDefault="00FB2368">
      <w:pPr>
        <w:spacing w:after="400"/>
        <w:jc w:val="center"/>
        <w:rPr>
          <w:sz w:val="20"/>
          <w:szCs w:val="20"/>
        </w:rPr>
      </w:pPr>
      <w:r w:rsidRPr="00943D0E">
        <w:rPr>
          <w:rFonts w:ascii="Arial" w:hAnsi="Arial"/>
          <w:i/>
          <w:color w:val="666666"/>
          <w:sz w:val="20"/>
          <w:szCs w:val="20"/>
        </w:rPr>
        <w:t>Global Fund TB Public-Private Mix (GFTB</w:t>
      </w:r>
      <w:r w:rsidR="001236DF" w:rsidRPr="00943D0E">
        <w:rPr>
          <w:rFonts w:ascii="Arial" w:hAnsi="Arial"/>
          <w:i/>
          <w:color w:val="666666"/>
          <w:sz w:val="20"/>
          <w:szCs w:val="20"/>
        </w:rPr>
        <w:t xml:space="preserve"> GC7</w:t>
      </w:r>
      <w:r w:rsidRPr="00943D0E">
        <w:rPr>
          <w:rFonts w:ascii="Arial" w:hAnsi="Arial"/>
          <w:i/>
          <w:color w:val="666666"/>
          <w:sz w:val="20"/>
          <w:szCs w:val="20"/>
        </w:rPr>
        <w:t>-PPM) — Trans Nzoia County</w:t>
      </w:r>
    </w:p>
    <w:p w14:paraId="663A483E" w14:textId="77777777" w:rsidR="005128EF" w:rsidRDefault="005128EF">
      <w:pPr>
        <w:pBdr>
          <w:bottom w:val="single" w:sz="12" w:space="1" w:color="003366"/>
        </w:pBdr>
        <w:spacing w:after="360"/>
      </w:pPr>
    </w:p>
    <w:tbl>
      <w:tblPr>
        <w:tblW w:w="0" w:type="auto"/>
        <w:jc w:val="center"/>
        <w:tblLook w:val="04A0" w:firstRow="1" w:lastRow="0" w:firstColumn="1" w:lastColumn="0" w:noHBand="0" w:noVBand="1"/>
      </w:tblPr>
      <w:tblGrid>
        <w:gridCol w:w="3600"/>
        <w:gridCol w:w="5760"/>
      </w:tblGrid>
      <w:tr w:rsidR="005128EF" w14:paraId="4FE22BF5" w14:textId="77777777">
        <w:trPr>
          <w:jc w:val="center"/>
        </w:trPr>
        <w:tc>
          <w:tcPr>
            <w:tcW w:w="3600" w:type="dxa"/>
            <w:shd w:val="clear" w:color="auto" w:fill="F2F5F8"/>
            <w:tcMar>
              <w:top w:w="60" w:type="dxa"/>
              <w:left w:w="100" w:type="dxa"/>
              <w:bottom w:w="60" w:type="dxa"/>
              <w:right w:w="100" w:type="dxa"/>
            </w:tcMar>
          </w:tcPr>
          <w:p w14:paraId="64F26B28" w14:textId="7483C5ED" w:rsidR="005128EF" w:rsidRDefault="00FB2368">
            <w:pPr>
              <w:spacing w:after="0"/>
            </w:pPr>
            <w:r>
              <w:rPr>
                <w:rFonts w:ascii="Arial" w:hAnsi="Arial"/>
                <w:b/>
                <w:color w:val="003366"/>
                <w:sz w:val="19"/>
              </w:rPr>
              <w:t>Program Name</w:t>
            </w:r>
          </w:p>
        </w:tc>
        <w:tc>
          <w:tcPr>
            <w:tcW w:w="5760" w:type="dxa"/>
            <w:shd w:val="clear" w:color="auto" w:fill="FFFFFF"/>
            <w:tcMar>
              <w:top w:w="60" w:type="dxa"/>
              <w:left w:w="100" w:type="dxa"/>
              <w:bottom w:w="60" w:type="dxa"/>
              <w:right w:w="100" w:type="dxa"/>
            </w:tcMar>
          </w:tcPr>
          <w:p w14:paraId="4305C84E" w14:textId="77777777" w:rsidR="005128EF" w:rsidRDefault="00FB2368">
            <w:pPr>
              <w:spacing w:after="0"/>
            </w:pPr>
            <w:r>
              <w:rPr>
                <w:rFonts w:ascii="Arial" w:hAnsi="Arial"/>
                <w:sz w:val="19"/>
              </w:rPr>
              <w:t>Global Fund Tuberculosis Public-Private Mix (GFTB-PPM)</w:t>
            </w:r>
          </w:p>
        </w:tc>
      </w:tr>
      <w:tr w:rsidR="005128EF" w14:paraId="02245DA7" w14:textId="77777777">
        <w:trPr>
          <w:jc w:val="center"/>
        </w:trPr>
        <w:tc>
          <w:tcPr>
            <w:tcW w:w="3600" w:type="dxa"/>
            <w:shd w:val="clear" w:color="auto" w:fill="F2F5F8"/>
            <w:tcMar>
              <w:top w:w="60" w:type="dxa"/>
              <w:left w:w="100" w:type="dxa"/>
              <w:bottom w:w="60" w:type="dxa"/>
              <w:right w:w="100" w:type="dxa"/>
            </w:tcMar>
          </w:tcPr>
          <w:p w14:paraId="32BD24C1" w14:textId="76F64B6B" w:rsidR="005128EF" w:rsidRDefault="00FB2368">
            <w:pPr>
              <w:spacing w:after="0"/>
            </w:pPr>
            <w:r>
              <w:rPr>
                <w:rFonts w:ascii="Arial" w:hAnsi="Arial"/>
                <w:b/>
                <w:color w:val="003366"/>
                <w:sz w:val="19"/>
              </w:rPr>
              <w:t xml:space="preserve">Activity </w:t>
            </w:r>
          </w:p>
        </w:tc>
        <w:tc>
          <w:tcPr>
            <w:tcW w:w="5760" w:type="dxa"/>
            <w:shd w:val="clear" w:color="auto" w:fill="FFFFFF"/>
            <w:tcMar>
              <w:top w:w="60" w:type="dxa"/>
              <w:left w:w="100" w:type="dxa"/>
              <w:bottom w:w="60" w:type="dxa"/>
              <w:right w:w="100" w:type="dxa"/>
            </w:tcMar>
          </w:tcPr>
          <w:p w14:paraId="1D37D649" w14:textId="3508D65B" w:rsidR="005128EF" w:rsidRDefault="00FB2368">
            <w:pPr>
              <w:spacing w:after="0"/>
            </w:pPr>
            <w:r>
              <w:rPr>
                <w:rFonts w:ascii="Arial" w:hAnsi="Arial"/>
                <w:sz w:val="19"/>
              </w:rPr>
              <w:t>Laboratory Diagnosis &amp; Stepwise Diagnostic Testing Training</w:t>
            </w:r>
            <w:r w:rsidR="001236DF">
              <w:rPr>
                <w:rFonts w:ascii="Arial" w:hAnsi="Arial"/>
                <w:sz w:val="19"/>
              </w:rPr>
              <w:t xml:space="preserve"> </w:t>
            </w:r>
            <w:r w:rsidR="005F6F76">
              <w:rPr>
                <w:rFonts w:ascii="Arial" w:hAnsi="Arial"/>
                <w:sz w:val="19"/>
              </w:rPr>
              <w:t>for</w:t>
            </w:r>
            <w:r w:rsidR="001236DF">
              <w:rPr>
                <w:rFonts w:ascii="Arial" w:hAnsi="Arial"/>
                <w:sz w:val="19"/>
              </w:rPr>
              <w:t xml:space="preserve"> Laboratory Staff </w:t>
            </w:r>
            <w:r w:rsidR="00322517">
              <w:rPr>
                <w:rFonts w:ascii="Arial" w:hAnsi="Arial"/>
                <w:sz w:val="19"/>
              </w:rPr>
              <w:t>in engaged private facilities</w:t>
            </w:r>
          </w:p>
        </w:tc>
      </w:tr>
      <w:tr w:rsidR="005128EF" w14:paraId="475548D3" w14:textId="77777777">
        <w:trPr>
          <w:jc w:val="center"/>
        </w:trPr>
        <w:tc>
          <w:tcPr>
            <w:tcW w:w="3600" w:type="dxa"/>
            <w:shd w:val="clear" w:color="auto" w:fill="F2F5F8"/>
            <w:tcMar>
              <w:top w:w="60" w:type="dxa"/>
              <w:left w:w="100" w:type="dxa"/>
              <w:bottom w:w="60" w:type="dxa"/>
              <w:right w:w="100" w:type="dxa"/>
            </w:tcMar>
          </w:tcPr>
          <w:p w14:paraId="48298CCF" w14:textId="77777777" w:rsidR="005128EF" w:rsidRDefault="00FB2368">
            <w:pPr>
              <w:spacing w:after="0"/>
            </w:pPr>
            <w:r>
              <w:rPr>
                <w:rFonts w:ascii="Arial" w:hAnsi="Arial"/>
                <w:b/>
                <w:color w:val="003366"/>
                <w:sz w:val="19"/>
              </w:rPr>
              <w:t>Location / County</w:t>
            </w:r>
          </w:p>
        </w:tc>
        <w:tc>
          <w:tcPr>
            <w:tcW w:w="5760" w:type="dxa"/>
            <w:shd w:val="clear" w:color="auto" w:fill="FFFFFF"/>
            <w:tcMar>
              <w:top w:w="60" w:type="dxa"/>
              <w:left w:w="100" w:type="dxa"/>
              <w:bottom w:w="60" w:type="dxa"/>
              <w:right w:w="100" w:type="dxa"/>
            </w:tcMar>
          </w:tcPr>
          <w:p w14:paraId="7D0BC36E" w14:textId="77777777" w:rsidR="005128EF" w:rsidRDefault="00FB2368">
            <w:pPr>
              <w:spacing w:after="0"/>
            </w:pPr>
            <w:r>
              <w:rPr>
                <w:rFonts w:ascii="Arial" w:hAnsi="Arial"/>
                <w:sz w:val="19"/>
              </w:rPr>
              <w:t>Trans Nzoia County</w:t>
            </w:r>
          </w:p>
        </w:tc>
      </w:tr>
      <w:tr w:rsidR="005128EF" w14:paraId="0E91D955" w14:textId="77777777">
        <w:trPr>
          <w:jc w:val="center"/>
        </w:trPr>
        <w:tc>
          <w:tcPr>
            <w:tcW w:w="3600" w:type="dxa"/>
            <w:shd w:val="clear" w:color="auto" w:fill="F2F5F8"/>
            <w:tcMar>
              <w:top w:w="60" w:type="dxa"/>
              <w:left w:w="100" w:type="dxa"/>
              <w:bottom w:w="60" w:type="dxa"/>
              <w:right w:w="100" w:type="dxa"/>
            </w:tcMar>
          </w:tcPr>
          <w:p w14:paraId="2DD795DA" w14:textId="53E6C744" w:rsidR="005128EF" w:rsidRDefault="001236DF">
            <w:pPr>
              <w:spacing w:after="0"/>
            </w:pPr>
            <w:r>
              <w:rPr>
                <w:rFonts w:ascii="Arial" w:hAnsi="Arial"/>
                <w:b/>
                <w:color w:val="003366"/>
                <w:sz w:val="19"/>
              </w:rPr>
              <w:t>Date</w:t>
            </w:r>
          </w:p>
        </w:tc>
        <w:tc>
          <w:tcPr>
            <w:tcW w:w="5760" w:type="dxa"/>
            <w:shd w:val="clear" w:color="auto" w:fill="FFFFFF"/>
            <w:tcMar>
              <w:top w:w="60" w:type="dxa"/>
              <w:left w:w="100" w:type="dxa"/>
              <w:bottom w:w="60" w:type="dxa"/>
              <w:right w:w="100" w:type="dxa"/>
            </w:tcMar>
          </w:tcPr>
          <w:p w14:paraId="429CA5CF" w14:textId="54DA44C7" w:rsidR="005128EF" w:rsidRDefault="00943D0E">
            <w:pPr>
              <w:spacing w:after="0"/>
            </w:pPr>
            <w:r>
              <w:rPr>
                <w:rFonts w:ascii="Arial" w:hAnsi="Arial"/>
                <w:sz w:val="19"/>
              </w:rPr>
              <w:t>19</w:t>
            </w:r>
            <w:r w:rsidRPr="00943D0E">
              <w:rPr>
                <w:rFonts w:ascii="Arial" w:hAnsi="Arial"/>
                <w:sz w:val="19"/>
                <w:vertAlign w:val="superscript"/>
              </w:rPr>
              <w:t>th</w:t>
            </w:r>
            <w:r>
              <w:rPr>
                <w:rFonts w:ascii="Arial" w:hAnsi="Arial"/>
                <w:sz w:val="19"/>
                <w:vertAlign w:val="superscript"/>
              </w:rPr>
              <w:t xml:space="preserve"> </w:t>
            </w:r>
            <w:r>
              <w:rPr>
                <w:rFonts w:ascii="Arial" w:hAnsi="Arial"/>
                <w:sz w:val="19"/>
              </w:rPr>
              <w:t>to 21</w:t>
            </w:r>
            <w:r w:rsidRPr="00943D0E">
              <w:rPr>
                <w:rFonts w:ascii="Arial" w:hAnsi="Arial"/>
                <w:sz w:val="19"/>
                <w:vertAlign w:val="superscript"/>
              </w:rPr>
              <w:t>st</w:t>
            </w:r>
            <w:r>
              <w:rPr>
                <w:rFonts w:ascii="Arial" w:hAnsi="Arial"/>
                <w:sz w:val="19"/>
              </w:rPr>
              <w:t xml:space="preserve"> May </w:t>
            </w:r>
            <w:r w:rsidR="00FB2368">
              <w:rPr>
                <w:rFonts w:ascii="Arial" w:hAnsi="Arial"/>
                <w:sz w:val="19"/>
              </w:rPr>
              <w:t>202</w:t>
            </w:r>
            <w:r w:rsidR="001236DF">
              <w:rPr>
                <w:rFonts w:ascii="Arial" w:hAnsi="Arial"/>
                <w:sz w:val="19"/>
              </w:rPr>
              <w:t>5</w:t>
            </w:r>
          </w:p>
        </w:tc>
      </w:tr>
    </w:tbl>
    <w:p w14:paraId="616FF027" w14:textId="1E5D042D" w:rsidR="0098185A" w:rsidRPr="0098185A" w:rsidRDefault="00FB2368" w:rsidP="0098185A">
      <w:pPr>
        <w:pStyle w:val="Heading1"/>
        <w:spacing w:before="120" w:after="60"/>
        <w:rPr>
          <w:rFonts w:ascii="Arial" w:hAnsi="Arial"/>
          <w:color w:val="003366"/>
          <w:sz w:val="20"/>
          <w:szCs w:val="20"/>
        </w:rPr>
      </w:pPr>
      <w:r w:rsidRPr="001236DF">
        <w:rPr>
          <w:rFonts w:ascii="Arial" w:hAnsi="Arial"/>
          <w:color w:val="003366"/>
          <w:sz w:val="20"/>
          <w:szCs w:val="20"/>
        </w:rPr>
        <w:t>Brief Summary of the Activity</w:t>
      </w:r>
    </w:p>
    <w:p w14:paraId="6F963965" w14:textId="0A19B975" w:rsidR="001236DF" w:rsidRDefault="0098185A" w:rsidP="001236DF">
      <w:pPr>
        <w:spacing w:after="160"/>
        <w:rPr>
          <w:rFonts w:ascii="Arial" w:hAnsi="Arial"/>
          <w:sz w:val="20"/>
        </w:rPr>
      </w:pPr>
      <w:r>
        <w:rPr>
          <w:rFonts w:ascii="Arial" w:hAnsi="Arial"/>
          <w:sz w:val="20"/>
        </w:rPr>
        <w:t xml:space="preserve"> </w:t>
      </w:r>
      <w:r w:rsidR="00FB2368">
        <w:rPr>
          <w:rFonts w:ascii="Arial" w:hAnsi="Arial"/>
          <w:sz w:val="20"/>
        </w:rPr>
        <w:t xml:space="preserve">As part of NEPHAK's strategic initiative to enhance tuberculosis diagnostics under the Global Fund GC7 Grant, a rigorous </w:t>
      </w:r>
      <w:r>
        <w:rPr>
          <w:rFonts w:ascii="Arial" w:hAnsi="Arial"/>
          <w:sz w:val="20"/>
        </w:rPr>
        <w:t xml:space="preserve">3 days </w:t>
      </w:r>
      <w:r w:rsidR="00FB2368">
        <w:rPr>
          <w:rFonts w:ascii="Arial" w:hAnsi="Arial"/>
          <w:sz w:val="20"/>
        </w:rPr>
        <w:t>sensitization and hands-on laboratory diagnostic training was conducted</w:t>
      </w:r>
      <w:r>
        <w:rPr>
          <w:rFonts w:ascii="Arial" w:hAnsi="Arial"/>
          <w:sz w:val="20"/>
        </w:rPr>
        <w:t xml:space="preserve"> in collaboration with the </w:t>
      </w:r>
      <w:r w:rsidR="00281287">
        <w:rPr>
          <w:rFonts w:ascii="Arial" w:hAnsi="Arial"/>
          <w:sz w:val="20"/>
        </w:rPr>
        <w:t xml:space="preserve">Trans Nzoia department of Health, </w:t>
      </w:r>
      <w:r w:rsidR="00FB2368">
        <w:rPr>
          <w:rFonts w:ascii="Arial" w:hAnsi="Arial"/>
          <w:sz w:val="20"/>
        </w:rPr>
        <w:t xml:space="preserve">for laboratory professionals </w:t>
      </w:r>
      <w:r w:rsidR="00281287">
        <w:rPr>
          <w:rFonts w:ascii="Arial" w:hAnsi="Arial"/>
          <w:sz w:val="20"/>
        </w:rPr>
        <w:t>from engaged private facilities and public molecular diagnostic facilities</w:t>
      </w:r>
      <w:r w:rsidR="00FB2368">
        <w:rPr>
          <w:rFonts w:ascii="Arial" w:hAnsi="Arial"/>
          <w:sz w:val="20"/>
        </w:rPr>
        <w:t xml:space="preserve"> in Trans Nzoia County. The training specialized in building local capacity for microscopic smear examinations, standardized sample preparation, and safeguarding biosafety during laboratory diagnosis. Crucially, the participants </w:t>
      </w:r>
      <w:r w:rsidR="00BF5878">
        <w:rPr>
          <w:rFonts w:ascii="Arial" w:hAnsi="Arial"/>
          <w:sz w:val="20"/>
        </w:rPr>
        <w:t xml:space="preserve">were trained </w:t>
      </w:r>
      <w:r w:rsidR="00FB2368">
        <w:rPr>
          <w:rFonts w:ascii="Arial" w:hAnsi="Arial"/>
          <w:sz w:val="20"/>
        </w:rPr>
        <w:t>on the implementation of stepwise diagnostic pathways: conducting initial smear microscopy testing at local private/faith-based facilities, followed by the systematic packaging and referral of eligible specimens to Molecular GeneXpert</w:t>
      </w:r>
      <w:r w:rsidR="00281287">
        <w:rPr>
          <w:rFonts w:ascii="Arial" w:hAnsi="Arial"/>
          <w:sz w:val="20"/>
        </w:rPr>
        <w:t xml:space="preserve"> and TRU NAT</w:t>
      </w:r>
      <w:r w:rsidR="00FB2368">
        <w:rPr>
          <w:rFonts w:ascii="Arial" w:hAnsi="Arial"/>
          <w:sz w:val="20"/>
        </w:rPr>
        <w:t xml:space="preserve"> hub labs </w:t>
      </w:r>
      <w:r w:rsidR="00BF5878">
        <w:rPr>
          <w:rFonts w:ascii="Arial" w:hAnsi="Arial"/>
          <w:sz w:val="20"/>
        </w:rPr>
        <w:t xml:space="preserve">through a dedicated sample networking by engaged riders </w:t>
      </w:r>
      <w:r w:rsidR="00FB2368">
        <w:rPr>
          <w:rFonts w:ascii="Arial" w:hAnsi="Arial"/>
          <w:sz w:val="20"/>
        </w:rPr>
        <w:t xml:space="preserve">to ensure comprehensive drug resistance </w:t>
      </w:r>
      <w:r w:rsidR="005F6F76">
        <w:rPr>
          <w:rFonts w:ascii="Arial" w:hAnsi="Arial"/>
          <w:sz w:val="20"/>
        </w:rPr>
        <w:t>testing</w:t>
      </w:r>
      <w:r w:rsidR="00FB2368">
        <w:rPr>
          <w:rFonts w:ascii="Arial" w:hAnsi="Arial"/>
          <w:sz w:val="20"/>
        </w:rPr>
        <w:t>.</w:t>
      </w:r>
      <w:r w:rsidR="001236DF">
        <w:rPr>
          <w:rFonts w:ascii="Arial" w:hAnsi="Arial"/>
          <w:sz w:val="20"/>
        </w:rPr>
        <w:t xml:space="preserve"> </w:t>
      </w:r>
    </w:p>
    <w:p w14:paraId="5C3B7E9E" w14:textId="24ABD850" w:rsidR="005128EF" w:rsidRDefault="00FB2368" w:rsidP="001236DF">
      <w:pPr>
        <w:spacing w:after="160"/>
      </w:pPr>
      <w:r w:rsidRPr="001236DF">
        <w:rPr>
          <w:rFonts w:ascii="Arial" w:hAnsi="Arial"/>
          <w:b/>
          <w:color w:val="003366"/>
          <w:sz w:val="20"/>
          <w:szCs w:val="20"/>
        </w:rPr>
        <w:t>Key Outcomes and Programmatic Impact</w:t>
      </w:r>
    </w:p>
    <w:p w14:paraId="71754EA9" w14:textId="3C98517B" w:rsidR="005128EF" w:rsidRDefault="00FB2368">
      <w:pPr>
        <w:pStyle w:val="ListBullet"/>
        <w:spacing w:after="80"/>
      </w:pPr>
      <w:r>
        <w:rPr>
          <w:rFonts w:ascii="Arial" w:hAnsi="Arial"/>
          <w:b/>
          <w:sz w:val="20"/>
        </w:rPr>
        <w:t xml:space="preserve">Exceptional Target Achievement: </w:t>
      </w:r>
      <w:r>
        <w:rPr>
          <w:rFonts w:ascii="Arial" w:hAnsi="Arial"/>
          <w:sz w:val="20"/>
        </w:rPr>
        <w:t xml:space="preserve">This specific laboratory diagnostic capacity building and targeted diagnostic expansion directly drove Trans Nzoia County to surpass its case detection targets, achieving an outstanding 130% target performance in the latest </w:t>
      </w:r>
      <w:r w:rsidR="005F6F76">
        <w:rPr>
          <w:rFonts w:ascii="Arial" w:hAnsi="Arial"/>
          <w:sz w:val="20"/>
        </w:rPr>
        <w:t>performance review on April 2026</w:t>
      </w:r>
    </w:p>
    <w:p w14:paraId="1FD777AB" w14:textId="6F5D3C60" w:rsidR="005F6F76" w:rsidRPr="005F6F76" w:rsidRDefault="00FB2368" w:rsidP="005F6F76">
      <w:pPr>
        <w:pStyle w:val="ListBullet"/>
        <w:spacing w:after="80"/>
      </w:pPr>
      <w:r>
        <w:rPr>
          <w:rFonts w:ascii="Arial" w:hAnsi="Arial"/>
          <w:b/>
          <w:sz w:val="20"/>
        </w:rPr>
        <w:t xml:space="preserve">Enhanced Diagnostic Capacity: </w:t>
      </w:r>
      <w:r>
        <w:rPr>
          <w:rFonts w:ascii="Arial" w:hAnsi="Arial"/>
          <w:sz w:val="20"/>
        </w:rPr>
        <w:t xml:space="preserve">A cohort of </w:t>
      </w:r>
      <w:r w:rsidR="00BF5878">
        <w:rPr>
          <w:rFonts w:ascii="Arial" w:hAnsi="Arial"/>
          <w:sz w:val="20"/>
        </w:rPr>
        <w:t xml:space="preserve">22 </w:t>
      </w:r>
      <w:r>
        <w:rPr>
          <w:rFonts w:ascii="Arial" w:hAnsi="Arial"/>
          <w:sz w:val="20"/>
        </w:rPr>
        <w:t>laborator</w:t>
      </w:r>
      <w:r w:rsidR="00BF5878">
        <w:rPr>
          <w:rFonts w:ascii="Arial" w:hAnsi="Arial"/>
          <w:sz w:val="20"/>
        </w:rPr>
        <w:t>y</w:t>
      </w:r>
      <w:r>
        <w:rPr>
          <w:rFonts w:ascii="Arial" w:hAnsi="Arial"/>
          <w:sz w:val="20"/>
        </w:rPr>
        <w:t xml:space="preserve"> staff from local private and faith-based health facilities were successfully upskilled</w:t>
      </w:r>
      <w:r w:rsidR="005F6F76">
        <w:rPr>
          <w:rFonts w:ascii="Arial" w:hAnsi="Arial"/>
          <w:sz w:val="20"/>
        </w:rPr>
        <w:t xml:space="preserve"> enhancing diagnosis at facility level and sample networking for molecular TB testing</w:t>
      </w:r>
      <w:r w:rsidR="00B53E22">
        <w:rPr>
          <w:rFonts w:ascii="Arial" w:hAnsi="Arial"/>
          <w:sz w:val="20"/>
        </w:rPr>
        <w:t xml:space="preserve">. This also helped the county to increase on the number of facilities doing TB diagnosis by facilitating 2 more private facilities to become diagnostic </w:t>
      </w:r>
      <w:r w:rsidR="00BF5878">
        <w:rPr>
          <w:rFonts w:ascii="Arial" w:hAnsi="Arial"/>
          <w:sz w:val="20"/>
        </w:rPr>
        <w:t>facilities</w:t>
      </w:r>
      <w:r w:rsidR="00B53E22">
        <w:rPr>
          <w:rFonts w:ascii="Arial" w:hAnsi="Arial"/>
          <w:sz w:val="20"/>
        </w:rPr>
        <w:t xml:space="preserve"> through onsite job training and </w:t>
      </w:r>
      <w:r w:rsidR="00BF5878">
        <w:rPr>
          <w:rFonts w:ascii="Arial" w:hAnsi="Arial"/>
          <w:sz w:val="20"/>
        </w:rPr>
        <w:t>provision</w:t>
      </w:r>
      <w:r w:rsidR="00B53E22">
        <w:rPr>
          <w:rFonts w:ascii="Arial" w:hAnsi="Arial"/>
          <w:sz w:val="20"/>
        </w:rPr>
        <w:t xml:space="preserve"> of TB testing slides and reagents</w:t>
      </w:r>
      <w:r w:rsidR="00BF5878">
        <w:rPr>
          <w:rFonts w:ascii="Arial" w:hAnsi="Arial"/>
          <w:sz w:val="20"/>
        </w:rPr>
        <w:t xml:space="preserve"> by the subcounty medical laboratory coordinators</w:t>
      </w:r>
    </w:p>
    <w:p w14:paraId="3148C1EF" w14:textId="01348A5B" w:rsidR="005F6F76" w:rsidRPr="005F6F76" w:rsidRDefault="005F6F76" w:rsidP="005F6F76">
      <w:pPr>
        <w:pStyle w:val="ListBullet"/>
        <w:spacing w:after="80"/>
        <w:rPr>
          <w:b/>
          <w:bCs/>
        </w:rPr>
      </w:pPr>
      <w:r w:rsidRPr="005F6F76">
        <w:rPr>
          <w:rFonts w:ascii="Arial" w:hAnsi="Arial" w:cs="Arial"/>
          <w:b/>
          <w:bCs/>
        </w:rPr>
        <w:t>Operationaliz</w:t>
      </w:r>
      <w:r w:rsidR="00BF5878">
        <w:rPr>
          <w:rFonts w:ascii="Arial" w:hAnsi="Arial" w:cs="Arial"/>
          <w:b/>
          <w:bCs/>
        </w:rPr>
        <w:t>ed</w:t>
      </w:r>
      <w:r w:rsidRPr="005F6F76">
        <w:rPr>
          <w:rFonts w:ascii="Arial" w:hAnsi="Arial" w:cs="Arial"/>
          <w:b/>
          <w:bCs/>
        </w:rPr>
        <w:t xml:space="preserve"> the "Stepwise Testing" Pathway</w:t>
      </w:r>
    </w:p>
    <w:p w14:paraId="2C074BAE" w14:textId="7E88630C" w:rsidR="005F6F76" w:rsidRPr="00BF5878" w:rsidRDefault="005F6F76" w:rsidP="00BF5878">
      <w:pPr>
        <w:pStyle w:val="NormalWeb"/>
        <w:spacing w:before="0" w:beforeAutospacing="0"/>
        <w:rPr>
          <w:rFonts w:ascii="Arial" w:hAnsi="Arial" w:cs="Arial"/>
          <w:sz w:val="20"/>
          <w:szCs w:val="20"/>
        </w:rPr>
      </w:pPr>
      <w:r w:rsidRPr="00BF5878">
        <w:rPr>
          <w:rFonts w:ascii="Arial" w:hAnsi="Arial" w:cs="Arial"/>
          <w:sz w:val="20"/>
          <w:szCs w:val="20"/>
        </w:rPr>
        <w:t>The training bridged the gap between basic facility-level testing and advanced</w:t>
      </w:r>
      <w:r w:rsidR="00B53E22" w:rsidRPr="00BF5878">
        <w:rPr>
          <w:rFonts w:ascii="Arial" w:hAnsi="Arial" w:cs="Arial"/>
          <w:sz w:val="20"/>
          <w:szCs w:val="20"/>
        </w:rPr>
        <w:t xml:space="preserve"> molecular testing. Medical laboratory staff were trained to conduct initial smear microscopy testing directly onsite at their respective private facilities after which they could then refer the samples through an established sample networking by riders to molecular Gene Xpert and TRU NAT hub laboratories for drug sensitivity testing. The results are then relayed back to the referring facility for patient management</w:t>
      </w:r>
    </w:p>
    <w:p w14:paraId="23DCE302" w14:textId="6814A40F" w:rsidR="001236DF" w:rsidRPr="0098185A" w:rsidRDefault="00FB2368" w:rsidP="001236DF">
      <w:pPr>
        <w:pStyle w:val="ListBullet"/>
        <w:spacing w:after="80"/>
      </w:pPr>
      <w:r>
        <w:rPr>
          <w:rFonts w:ascii="Arial" w:hAnsi="Arial"/>
          <w:b/>
          <w:sz w:val="20"/>
        </w:rPr>
        <w:t xml:space="preserve">Optimized Diagnostic </w:t>
      </w:r>
      <w:r w:rsidR="00943D0E">
        <w:rPr>
          <w:rFonts w:ascii="Arial" w:hAnsi="Arial"/>
          <w:b/>
          <w:sz w:val="20"/>
        </w:rPr>
        <w:t xml:space="preserve">and treatment </w:t>
      </w:r>
      <w:r>
        <w:rPr>
          <w:rFonts w:ascii="Arial" w:hAnsi="Arial"/>
          <w:b/>
          <w:sz w:val="20"/>
        </w:rPr>
        <w:t xml:space="preserve">Timelines: </w:t>
      </w:r>
      <w:r>
        <w:rPr>
          <w:rFonts w:ascii="Arial" w:hAnsi="Arial"/>
          <w:sz w:val="20"/>
        </w:rPr>
        <w:t>The training successfully operationalized the facility-to-molecular-hub referral networks</w:t>
      </w:r>
      <w:r w:rsidR="00943D0E">
        <w:rPr>
          <w:rFonts w:ascii="Arial" w:hAnsi="Arial"/>
          <w:sz w:val="20"/>
        </w:rPr>
        <w:t xml:space="preserve"> through engaged riders b</w:t>
      </w:r>
      <w:r>
        <w:rPr>
          <w:rFonts w:ascii="Arial" w:hAnsi="Arial"/>
          <w:sz w:val="20"/>
        </w:rPr>
        <w:t>y ensuring high-quality primary smear analysis locally, the referral and processing times for advanced GeneXpert diagnostics were reduced by an estimated 24 hours, facilitating quicker treatment initiation.</w:t>
      </w:r>
    </w:p>
    <w:p w14:paraId="029273C8" w14:textId="77777777" w:rsidR="0098185A" w:rsidRDefault="0098185A" w:rsidP="0098185A">
      <w:pPr>
        <w:pStyle w:val="ListBullet"/>
        <w:numPr>
          <w:ilvl w:val="0"/>
          <w:numId w:val="0"/>
        </w:numPr>
        <w:spacing w:after="80"/>
        <w:ind w:left="360" w:hanging="360"/>
      </w:pPr>
    </w:p>
    <w:p w14:paraId="3E31C5B8" w14:textId="77777777" w:rsidR="0098185A" w:rsidRDefault="0098185A" w:rsidP="0098185A">
      <w:pPr>
        <w:pStyle w:val="ListBullet"/>
        <w:numPr>
          <w:ilvl w:val="0"/>
          <w:numId w:val="0"/>
        </w:numPr>
        <w:spacing w:after="80"/>
        <w:ind w:left="360" w:hanging="360"/>
      </w:pPr>
    </w:p>
    <w:p w14:paraId="0618631F" w14:textId="77777777" w:rsidR="0098185A" w:rsidRDefault="0098185A" w:rsidP="0098185A">
      <w:pPr>
        <w:pStyle w:val="ListBullet"/>
        <w:numPr>
          <w:ilvl w:val="0"/>
          <w:numId w:val="0"/>
        </w:numPr>
        <w:spacing w:after="80"/>
        <w:ind w:left="360" w:hanging="360"/>
      </w:pPr>
    </w:p>
    <w:p w14:paraId="75C33983" w14:textId="2CB9E0B4" w:rsidR="005128EF" w:rsidRDefault="00FB2368" w:rsidP="001236DF">
      <w:pPr>
        <w:pStyle w:val="ListBullet"/>
        <w:numPr>
          <w:ilvl w:val="0"/>
          <w:numId w:val="0"/>
        </w:numPr>
        <w:spacing w:after="80"/>
        <w:rPr>
          <w:rFonts w:ascii="Arial" w:hAnsi="Arial"/>
          <w:color w:val="003366"/>
          <w:sz w:val="20"/>
          <w:szCs w:val="20"/>
        </w:rPr>
      </w:pPr>
      <w:r w:rsidRPr="001236DF">
        <w:rPr>
          <w:rFonts w:ascii="Arial" w:hAnsi="Arial"/>
          <w:color w:val="003366"/>
          <w:sz w:val="30"/>
        </w:rPr>
        <w:t xml:space="preserve"> </w:t>
      </w:r>
      <w:r w:rsidRPr="001236DF">
        <w:rPr>
          <w:rFonts w:ascii="Arial" w:hAnsi="Arial"/>
          <w:color w:val="003366"/>
          <w:sz w:val="20"/>
          <w:szCs w:val="20"/>
        </w:rPr>
        <w:t>Photos &amp; Creative Captions</w:t>
      </w:r>
    </w:p>
    <w:p w14:paraId="41519747" w14:textId="77777777" w:rsidR="00F572B5" w:rsidRDefault="00F572B5" w:rsidP="001236DF">
      <w:pPr>
        <w:pStyle w:val="ListBullet"/>
        <w:numPr>
          <w:ilvl w:val="0"/>
          <w:numId w:val="0"/>
        </w:numPr>
        <w:spacing w:after="80"/>
        <w:rPr>
          <w:rFonts w:ascii="Arial" w:hAnsi="Arial"/>
          <w:color w:val="003366"/>
          <w:sz w:val="20"/>
          <w:szCs w:val="20"/>
        </w:rPr>
      </w:pPr>
    </w:p>
    <w:p w14:paraId="1BBDC7EF" w14:textId="77777777" w:rsidR="00F572B5" w:rsidRDefault="00F572B5" w:rsidP="001236DF">
      <w:pPr>
        <w:pStyle w:val="ListBullet"/>
        <w:numPr>
          <w:ilvl w:val="0"/>
          <w:numId w:val="0"/>
        </w:numPr>
        <w:spacing w:after="80"/>
        <w:rPr>
          <w:rFonts w:ascii="Arial" w:hAnsi="Arial"/>
          <w:color w:val="003366"/>
          <w:sz w:val="20"/>
          <w:szCs w:val="20"/>
        </w:rPr>
      </w:pPr>
    </w:p>
    <w:p w14:paraId="16C296D1" w14:textId="75A4D1BA" w:rsidR="00F572B5" w:rsidRDefault="00A567D3" w:rsidP="001236DF">
      <w:pPr>
        <w:pStyle w:val="ListBullet"/>
        <w:numPr>
          <w:ilvl w:val="0"/>
          <w:numId w:val="0"/>
        </w:numPr>
        <w:spacing w:after="80"/>
        <w:rPr>
          <w:rFonts w:ascii="Arial" w:hAnsi="Arial"/>
          <w:color w:val="003366"/>
          <w:sz w:val="20"/>
          <w:szCs w:val="20"/>
        </w:rPr>
      </w:pPr>
      <w:r>
        <w:rPr>
          <w:rFonts w:ascii="Arial" w:hAnsi="Arial"/>
          <w:noProof/>
          <w:color w:val="003366"/>
          <w:sz w:val="20"/>
          <w:szCs w:val="20"/>
        </w:rPr>
        <mc:AlternateContent>
          <mc:Choice Requires="wps">
            <w:drawing>
              <wp:anchor distT="0" distB="0" distL="114300" distR="114300" simplePos="0" relativeHeight="251659264" behindDoc="0" locked="0" layoutInCell="1" allowOverlap="1" wp14:anchorId="4F0ECCFF" wp14:editId="1520C573">
                <wp:simplePos x="0" y="0"/>
                <wp:positionH relativeFrom="column">
                  <wp:posOffset>3225800</wp:posOffset>
                </wp:positionH>
                <wp:positionV relativeFrom="paragraph">
                  <wp:posOffset>730250</wp:posOffset>
                </wp:positionV>
                <wp:extent cx="3562350" cy="457200"/>
                <wp:effectExtent l="0" t="0" r="19050" b="19050"/>
                <wp:wrapNone/>
                <wp:docPr id="1848506607" name="Text Box 4"/>
                <wp:cNvGraphicFramePr/>
                <a:graphic xmlns:a="http://schemas.openxmlformats.org/drawingml/2006/main">
                  <a:graphicData uri="http://schemas.microsoft.com/office/word/2010/wordprocessingShape">
                    <wps:wsp>
                      <wps:cNvSpPr txBox="1"/>
                      <wps:spPr>
                        <a:xfrm>
                          <a:off x="0" y="0"/>
                          <a:ext cx="3562350" cy="457200"/>
                        </a:xfrm>
                        <a:prstGeom prst="rect">
                          <a:avLst/>
                        </a:prstGeom>
                        <a:solidFill>
                          <a:schemeClr val="lt1"/>
                        </a:solidFill>
                        <a:ln w="6350">
                          <a:solidFill>
                            <a:prstClr val="black"/>
                          </a:solidFill>
                        </a:ln>
                      </wps:spPr>
                      <wps:txbx>
                        <w:txbxContent>
                          <w:p w14:paraId="46347FC0" w14:textId="033D3571" w:rsidR="00A567D3" w:rsidRDefault="00A567D3">
                            <w:r>
                              <w:t xml:space="preserve"> Fig 1.0 </w:t>
                            </w:r>
                            <w:r w:rsidRPr="00A567D3">
                              <w:rPr>
                                <w:i/>
                                <w:iCs/>
                                <w:color w:val="00B0F0"/>
                                <w:sz w:val="18"/>
                                <w:szCs w:val="18"/>
                              </w:rPr>
                              <w:t>The County Director of Health Addressing Laboratory staff from the engaged private facilities for official opening of the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ECCFF" id="_x0000_t202" coordsize="21600,21600" o:spt="202" path="m,l,21600r21600,l21600,xe">
                <v:stroke joinstyle="miter"/>
                <v:path gradientshapeok="t" o:connecttype="rect"/>
              </v:shapetype>
              <v:shape id="Text Box 4" o:spid="_x0000_s1026" type="#_x0000_t202" style="position:absolute;margin-left:254pt;margin-top:57.5pt;width:280.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" fillcolor="white [3201]" strokeweight=".5pt">
                <v:textbox>
                  <w:txbxContent>
                    <w:p w14:paraId="46347FC0" w14:textId="033D3571" w:rsidR="00A567D3" w:rsidRDefault="00A567D3">
                      <w:r>
                        <w:t xml:space="preserve"> Fig 1.0 </w:t>
                      </w:r>
                      <w:r w:rsidRPr="00A567D3">
                        <w:rPr>
                          <w:i/>
                          <w:iCs/>
                          <w:color w:val="00B0F0"/>
                          <w:sz w:val="18"/>
                          <w:szCs w:val="18"/>
                        </w:rPr>
                        <w:t>The County Director of Health Addressing Laboratory staff from the engaged private facilities for official opening of the training</w:t>
                      </w:r>
                    </w:p>
                  </w:txbxContent>
                </v:textbox>
              </v:shape>
            </w:pict>
          </mc:Fallback>
        </mc:AlternateContent>
      </w:r>
      <w:r w:rsidR="00F572B5">
        <w:rPr>
          <w:rFonts w:ascii="Arial" w:hAnsi="Arial"/>
          <w:noProof/>
          <w:color w:val="003366"/>
          <w:sz w:val="20"/>
          <w:szCs w:val="20"/>
        </w:rPr>
        <w:drawing>
          <wp:inline distT="0" distB="0" distL="0" distR="0" wp14:anchorId="71203B49" wp14:editId="47F603BF">
            <wp:extent cx="3181350" cy="2165350"/>
            <wp:effectExtent l="0" t="0" r="0" b="6350"/>
            <wp:docPr id="2088169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36654" name="Picture 853036654"/>
                    <pic:cNvPicPr/>
                  </pic:nvPicPr>
                  <pic:blipFill>
                    <a:blip r:embed="rId6"/>
                    <a:stretch>
                      <a:fillRect/>
                    </a:stretch>
                  </pic:blipFill>
                  <pic:spPr>
                    <a:xfrm>
                      <a:off x="0" y="0"/>
                      <a:ext cx="3181350" cy="2165350"/>
                    </a:xfrm>
                    <a:prstGeom prst="rect">
                      <a:avLst/>
                    </a:prstGeom>
                  </pic:spPr>
                </pic:pic>
              </a:graphicData>
            </a:graphic>
          </wp:inline>
        </w:drawing>
      </w:r>
    </w:p>
    <w:p w14:paraId="4C3CA083" w14:textId="3C73D807" w:rsidR="00F572B5" w:rsidRDefault="00A567D3" w:rsidP="001236DF">
      <w:pPr>
        <w:pStyle w:val="ListBullet"/>
        <w:numPr>
          <w:ilvl w:val="0"/>
          <w:numId w:val="0"/>
        </w:numPr>
        <w:spacing w:after="80"/>
        <w:rPr>
          <w:rFonts w:ascii="Arial" w:hAnsi="Arial"/>
          <w:color w:val="003366"/>
          <w:sz w:val="20"/>
          <w:szCs w:val="20"/>
        </w:rPr>
      </w:pPr>
      <w:r>
        <w:rPr>
          <w:rFonts w:ascii="Arial" w:hAnsi="Arial"/>
          <w:noProof/>
          <w:color w:val="003366"/>
          <w:sz w:val="20"/>
          <w:szCs w:val="20"/>
        </w:rPr>
        <mc:AlternateContent>
          <mc:Choice Requires="wps">
            <w:drawing>
              <wp:anchor distT="0" distB="0" distL="114300" distR="114300" simplePos="0" relativeHeight="251660288" behindDoc="0" locked="0" layoutInCell="1" allowOverlap="1" wp14:anchorId="433353E4" wp14:editId="16727F2A">
                <wp:simplePos x="0" y="0"/>
                <wp:positionH relativeFrom="column">
                  <wp:posOffset>3321050</wp:posOffset>
                </wp:positionH>
                <wp:positionV relativeFrom="paragraph">
                  <wp:posOffset>410210</wp:posOffset>
                </wp:positionV>
                <wp:extent cx="3409950" cy="476250"/>
                <wp:effectExtent l="0" t="0" r="19050" b="19050"/>
                <wp:wrapNone/>
                <wp:docPr id="1910227860" name="Text Box 5"/>
                <wp:cNvGraphicFramePr/>
                <a:graphic xmlns:a="http://schemas.openxmlformats.org/drawingml/2006/main">
                  <a:graphicData uri="http://schemas.microsoft.com/office/word/2010/wordprocessingShape">
                    <wps:wsp>
                      <wps:cNvSpPr txBox="1"/>
                      <wps:spPr>
                        <a:xfrm>
                          <a:off x="0" y="0"/>
                          <a:ext cx="3409950" cy="476250"/>
                        </a:xfrm>
                        <a:prstGeom prst="rect">
                          <a:avLst/>
                        </a:prstGeom>
                        <a:solidFill>
                          <a:schemeClr val="lt1"/>
                        </a:solidFill>
                        <a:ln w="6350">
                          <a:solidFill>
                            <a:prstClr val="black"/>
                          </a:solidFill>
                        </a:ln>
                      </wps:spPr>
                      <wps:txbx>
                        <w:txbxContent>
                          <w:p w14:paraId="0C741921" w14:textId="26F6B1F4" w:rsidR="00A567D3" w:rsidRDefault="00A567D3">
                            <w:r>
                              <w:t xml:space="preserve">Fig 2.0 </w:t>
                            </w:r>
                            <w:r w:rsidRPr="0098185A">
                              <w:rPr>
                                <w:i/>
                                <w:iCs/>
                                <w:color w:val="00B0F0"/>
                              </w:rPr>
                              <w:t xml:space="preserve">Medical Laboratory staff from the engaged private facilities during the training </w:t>
                            </w:r>
                            <w:r w:rsidR="0098185A" w:rsidRPr="0098185A">
                              <w:rPr>
                                <w:i/>
                                <w:iCs/>
                                <w:color w:val="00B0F0"/>
                              </w:rPr>
                              <w:t>on TB diagnosis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53E4" id="Text Box 5" o:spid="_x0000_s1027" type="#_x0000_t202" style="position:absolute;margin-left:261.5pt;margin-top:32.3pt;width:268.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" fillcolor="white [3201]" strokeweight=".5pt">
                <v:textbox>
                  <w:txbxContent>
                    <w:p w14:paraId="0C741921" w14:textId="26F6B1F4" w:rsidR="00A567D3" w:rsidRDefault="00A567D3">
                      <w:r>
                        <w:t xml:space="preserve">Fig 2.0 </w:t>
                      </w:r>
                      <w:r w:rsidRPr="0098185A">
                        <w:rPr>
                          <w:i/>
                          <w:iCs/>
                          <w:color w:val="00B0F0"/>
                        </w:rPr>
                        <w:t xml:space="preserve">Medical Laboratory staff from the engaged private facilities during the training </w:t>
                      </w:r>
                      <w:r w:rsidR="0098185A" w:rsidRPr="0098185A">
                        <w:rPr>
                          <w:i/>
                          <w:iCs/>
                          <w:color w:val="00B0F0"/>
                        </w:rPr>
                        <w:t>on TB diagnosis</w:t>
                      </w:r>
                    </w:p>
                  </w:txbxContent>
                </v:textbox>
              </v:shape>
            </w:pict>
          </mc:Fallback>
        </mc:AlternateContent>
      </w:r>
      <w:r w:rsidR="00F572B5">
        <w:rPr>
          <w:rFonts w:ascii="Arial" w:hAnsi="Arial"/>
          <w:noProof/>
          <w:color w:val="003366"/>
          <w:sz w:val="20"/>
          <w:szCs w:val="20"/>
        </w:rPr>
        <w:drawing>
          <wp:inline distT="0" distB="0" distL="0" distR="0" wp14:anchorId="0231B8B4" wp14:editId="18A7E7BA">
            <wp:extent cx="3200400" cy="2051050"/>
            <wp:effectExtent l="0" t="0" r="0" b="6350"/>
            <wp:docPr id="920416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24751" name="Picture 950924751"/>
                    <pic:cNvPicPr/>
                  </pic:nvPicPr>
                  <pic:blipFill>
                    <a:blip r:embed="rId7"/>
                    <a:stretch>
                      <a:fillRect/>
                    </a:stretch>
                  </pic:blipFill>
                  <pic:spPr>
                    <a:xfrm>
                      <a:off x="0" y="0"/>
                      <a:ext cx="3200400" cy="2051050"/>
                    </a:xfrm>
                    <a:prstGeom prst="rect">
                      <a:avLst/>
                    </a:prstGeom>
                  </pic:spPr>
                </pic:pic>
              </a:graphicData>
            </a:graphic>
          </wp:inline>
        </w:drawing>
      </w:r>
    </w:p>
    <w:p w14:paraId="44B4EA57" w14:textId="2B663B3B" w:rsidR="00F572B5" w:rsidRDefault="0098185A" w:rsidP="001236DF">
      <w:pPr>
        <w:pStyle w:val="ListBullet"/>
        <w:numPr>
          <w:ilvl w:val="0"/>
          <w:numId w:val="0"/>
        </w:numPr>
        <w:spacing w:after="80"/>
        <w:rPr>
          <w:rFonts w:ascii="Arial" w:hAnsi="Arial"/>
          <w:color w:val="003366"/>
          <w:sz w:val="20"/>
          <w:szCs w:val="20"/>
        </w:rPr>
      </w:pPr>
      <w:r>
        <w:rPr>
          <w:rFonts w:ascii="Arial" w:hAnsi="Arial"/>
          <w:noProof/>
          <w:color w:val="003366"/>
          <w:sz w:val="20"/>
          <w:szCs w:val="20"/>
        </w:rPr>
        <mc:AlternateContent>
          <mc:Choice Requires="wps">
            <w:drawing>
              <wp:anchor distT="0" distB="0" distL="114300" distR="114300" simplePos="0" relativeHeight="251661312" behindDoc="0" locked="0" layoutInCell="1" allowOverlap="1" wp14:anchorId="0BFB01B5" wp14:editId="15D7654A">
                <wp:simplePos x="0" y="0"/>
                <wp:positionH relativeFrom="column">
                  <wp:posOffset>3257550</wp:posOffset>
                </wp:positionH>
                <wp:positionV relativeFrom="paragraph">
                  <wp:posOffset>400685</wp:posOffset>
                </wp:positionV>
                <wp:extent cx="3536950" cy="869950"/>
                <wp:effectExtent l="0" t="0" r="25400" b="25400"/>
                <wp:wrapNone/>
                <wp:docPr id="261741151" name="Text Box 6"/>
                <wp:cNvGraphicFramePr/>
                <a:graphic xmlns:a="http://schemas.openxmlformats.org/drawingml/2006/main">
                  <a:graphicData uri="http://schemas.microsoft.com/office/word/2010/wordprocessingShape">
                    <wps:wsp>
                      <wps:cNvSpPr txBox="1"/>
                      <wps:spPr>
                        <a:xfrm>
                          <a:off x="0" y="0"/>
                          <a:ext cx="3536950" cy="869950"/>
                        </a:xfrm>
                        <a:prstGeom prst="rect">
                          <a:avLst/>
                        </a:prstGeom>
                        <a:solidFill>
                          <a:schemeClr val="lt1"/>
                        </a:solidFill>
                        <a:ln w="6350">
                          <a:solidFill>
                            <a:prstClr val="black"/>
                          </a:solidFill>
                        </a:ln>
                      </wps:spPr>
                      <wps:txbx>
                        <w:txbxContent>
                          <w:p w14:paraId="635DBA3D" w14:textId="77BB5F86" w:rsidR="0098185A" w:rsidRPr="0098185A" w:rsidRDefault="0098185A">
                            <w:pPr>
                              <w:rPr>
                                <w:i/>
                                <w:iCs/>
                                <w:color w:val="00B0F0"/>
                              </w:rPr>
                            </w:pPr>
                            <w:r>
                              <w:t xml:space="preserve">Fig 3.0 </w:t>
                            </w:r>
                            <w:r w:rsidRPr="0098185A">
                              <w:rPr>
                                <w:i/>
                                <w:iCs/>
                                <w:color w:val="00B0F0"/>
                              </w:rPr>
                              <w:t>Medical laboratory staff with NEPHAK Staff at the TB Laboratory at the Kitale Regional Public Health Laboratory for practical sessions on TB diagnosis through ZN, GENE XPERT, LF LAM and LPA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01B5" id="Text Box 6" o:spid="_x0000_s1028" type="#_x0000_t202" style="position:absolute;margin-left:256.5pt;margin-top:31.55pt;width:278.5pt;height: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" fillcolor="white [3201]" strokeweight=".5pt">
                <v:textbox>
                  <w:txbxContent>
                    <w:p w14:paraId="635DBA3D" w14:textId="77BB5F86" w:rsidR="0098185A" w:rsidRPr="0098185A" w:rsidRDefault="0098185A">
                      <w:pPr>
                        <w:rPr>
                          <w:i/>
                          <w:iCs/>
                          <w:color w:val="00B0F0"/>
                        </w:rPr>
                      </w:pPr>
                      <w:r>
                        <w:t xml:space="preserve">Fig 3.0 </w:t>
                      </w:r>
                      <w:r w:rsidRPr="0098185A">
                        <w:rPr>
                          <w:i/>
                          <w:iCs/>
                          <w:color w:val="00B0F0"/>
                        </w:rPr>
                        <w:t>Medical laboratory staff with NEPHAK Staff at the TB Laboratory at the Kitale Regional Public Health Laboratory for practical sessions on TB diagnosis through ZN, GENE XPERT, LF LAM and LPA</w:t>
                      </w:r>
                    </w:p>
                  </w:txbxContent>
                </v:textbox>
              </v:shape>
            </w:pict>
          </mc:Fallback>
        </mc:AlternateContent>
      </w:r>
      <w:r w:rsidR="00F572B5">
        <w:rPr>
          <w:rFonts w:ascii="Arial" w:hAnsi="Arial"/>
          <w:noProof/>
          <w:color w:val="003366"/>
          <w:sz w:val="20"/>
          <w:szCs w:val="20"/>
        </w:rPr>
        <w:drawing>
          <wp:inline distT="0" distB="0" distL="0" distR="0" wp14:anchorId="71D08178" wp14:editId="7993EE70">
            <wp:extent cx="3213100" cy="2038350"/>
            <wp:effectExtent l="0" t="0" r="6350" b="0"/>
            <wp:docPr id="147447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77542" name="Picture 1474477542"/>
                    <pic:cNvPicPr/>
                  </pic:nvPicPr>
                  <pic:blipFill>
                    <a:blip r:embed="rId8"/>
                    <a:stretch>
                      <a:fillRect/>
                    </a:stretch>
                  </pic:blipFill>
                  <pic:spPr>
                    <a:xfrm>
                      <a:off x="0" y="0"/>
                      <a:ext cx="3213100" cy="2038350"/>
                    </a:xfrm>
                    <a:prstGeom prst="rect">
                      <a:avLst/>
                    </a:prstGeom>
                  </pic:spPr>
                </pic:pic>
              </a:graphicData>
            </a:graphic>
          </wp:inline>
        </w:drawing>
      </w:r>
    </w:p>
    <w:p w14:paraId="662CFF41" w14:textId="77777777" w:rsidR="00F572B5" w:rsidRDefault="00F572B5" w:rsidP="001236DF">
      <w:pPr>
        <w:pStyle w:val="ListBullet"/>
        <w:numPr>
          <w:ilvl w:val="0"/>
          <w:numId w:val="0"/>
        </w:numPr>
        <w:spacing w:after="80"/>
        <w:rPr>
          <w:rFonts w:ascii="Arial" w:hAnsi="Arial"/>
          <w:color w:val="003366"/>
          <w:sz w:val="20"/>
          <w:szCs w:val="20"/>
        </w:rPr>
      </w:pPr>
    </w:p>
    <w:p w14:paraId="0170AD81" w14:textId="77777777" w:rsidR="00F572B5" w:rsidRPr="001236DF" w:rsidRDefault="00F572B5" w:rsidP="001236DF">
      <w:pPr>
        <w:pStyle w:val="ListBullet"/>
        <w:numPr>
          <w:ilvl w:val="0"/>
          <w:numId w:val="0"/>
        </w:numPr>
        <w:spacing w:after="80"/>
      </w:pPr>
    </w:p>
    <w:p w14:paraId="74E81D60" w14:textId="71EE1435" w:rsidR="005128EF" w:rsidRDefault="005128EF">
      <w:pPr>
        <w:spacing w:after="80"/>
        <w:ind w:left="360"/>
      </w:pPr>
    </w:p>
    <w:sectPr w:rsidR="005128E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473345"/>
    <w:multiLevelType w:val="multilevel"/>
    <w:tmpl w:val="4636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6DF"/>
    <w:rsid w:val="0015074B"/>
    <w:rsid w:val="00281287"/>
    <w:rsid w:val="0029639D"/>
    <w:rsid w:val="002D3903"/>
    <w:rsid w:val="00322517"/>
    <w:rsid w:val="00326F90"/>
    <w:rsid w:val="0040114A"/>
    <w:rsid w:val="005128EF"/>
    <w:rsid w:val="005F6F76"/>
    <w:rsid w:val="00943D0E"/>
    <w:rsid w:val="009469D0"/>
    <w:rsid w:val="0098185A"/>
    <w:rsid w:val="00A567D3"/>
    <w:rsid w:val="00AA1D8D"/>
    <w:rsid w:val="00B47730"/>
    <w:rsid w:val="00B53E22"/>
    <w:rsid w:val="00BF5878"/>
    <w:rsid w:val="00C86941"/>
    <w:rsid w:val="00CB0664"/>
    <w:rsid w:val="00F572B5"/>
    <w:rsid w:val="00FB23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BAADF8"/>
  <w14:defaultImageDpi w14:val="300"/>
  <w15:docId w15:val="{7E06C33B-C649-404C-B958-2A7D8D01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9469D0"/>
  </w:style>
  <w:style w:type="paragraph" w:styleId="NormalWeb">
    <w:name w:val="Normal (Web)"/>
    <w:basedOn w:val="Normal"/>
    <w:uiPriority w:val="99"/>
    <w:unhideWhenUsed/>
    <w:rsid w:val="005F6F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hp</cp:lastModifiedBy>
  <cp:revision>2</cp:revision>
  <dcterms:created xsi:type="dcterms:W3CDTF">2026-07-28T14:46:00Z</dcterms:created>
  <dcterms:modified xsi:type="dcterms:W3CDTF">2026-07-28T14:46:00Z</dcterms:modified>
  <cp:category/>
</cp:coreProperties>
</file>